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F8E" w:rsidRPr="00CC3B21" w:rsidRDefault="00AE1FAA" w:rsidP="00693F8E">
      <w:pPr>
        <w:widowControl w:val="0"/>
        <w:autoSpaceDE w:val="0"/>
        <w:autoSpaceDN w:val="0"/>
        <w:adjustRightInd w:val="0"/>
        <w:spacing w:line="450" w:lineRule="exact"/>
        <w:ind w:right="-69"/>
        <w:jc w:val="center"/>
        <w:rPr>
          <w:rFonts w:ascii="Tahoma" w:hAnsi="Tahoma" w:cs="Tahoma"/>
          <w:color w:val="548DD4" w:themeColor="text2" w:themeTint="99"/>
          <w:sz w:val="36"/>
          <w:szCs w:val="36"/>
        </w:rPr>
      </w:pPr>
      <w:r w:rsidRPr="00CC3B21">
        <w:rPr>
          <w:rFonts w:ascii="Tahoma" w:hAnsi="Tahoma" w:cs="Tahoma"/>
          <w:b/>
          <w:bCs/>
          <w:color w:val="548DD4" w:themeColor="text2" w:themeTint="99"/>
          <w:w w:val="85"/>
          <w:position w:val="-1"/>
          <w:sz w:val="36"/>
          <w:szCs w:val="36"/>
        </w:rPr>
        <w:t>Informativa sui livelli di qualità</w:t>
      </w:r>
    </w:p>
    <w:p w:rsidR="00693F8E" w:rsidRPr="003349EE" w:rsidRDefault="00693F8E" w:rsidP="00693F8E">
      <w:pPr>
        <w:widowControl w:val="0"/>
        <w:autoSpaceDE w:val="0"/>
        <w:autoSpaceDN w:val="0"/>
        <w:adjustRightInd w:val="0"/>
        <w:spacing w:before="5" w:line="180" w:lineRule="exact"/>
        <w:rPr>
          <w:rFonts w:ascii="Tahoma" w:hAnsi="Tahoma" w:cs="Tahoma"/>
          <w:color w:val="FF0000"/>
          <w:sz w:val="40"/>
          <w:szCs w:val="40"/>
        </w:rPr>
      </w:pPr>
    </w:p>
    <w:p w:rsidR="00693F8E" w:rsidRDefault="00693F8E" w:rsidP="005D6A49">
      <w:pPr>
        <w:autoSpaceDE w:val="0"/>
        <w:autoSpaceDN w:val="0"/>
        <w:adjustRightInd w:val="0"/>
        <w:jc w:val="both"/>
        <w:rPr>
          <w:rFonts w:ascii="Verdana" w:hAnsi="Verdana" w:cs="Verdana-Bold"/>
          <w:b/>
          <w:bCs/>
          <w:sz w:val="16"/>
          <w:szCs w:val="16"/>
        </w:rPr>
      </w:pPr>
    </w:p>
    <w:p w:rsidR="00C604F3" w:rsidRPr="009272B3" w:rsidRDefault="005D6A49" w:rsidP="00C604F3">
      <w:pPr>
        <w:autoSpaceDE w:val="0"/>
        <w:autoSpaceDN w:val="0"/>
        <w:adjustRightInd w:val="0"/>
        <w:jc w:val="both"/>
        <w:rPr>
          <w:rFonts w:ascii="Tahoma" w:hAnsi="Tahoma" w:cs="Tahoma"/>
          <w:b/>
          <w:bCs/>
          <w:sz w:val="16"/>
          <w:szCs w:val="16"/>
        </w:rPr>
      </w:pPr>
      <w:r w:rsidRPr="009272B3">
        <w:rPr>
          <w:rFonts w:ascii="Tahoma" w:hAnsi="Tahoma" w:cs="Tahoma"/>
          <w:b/>
          <w:bCs/>
          <w:sz w:val="16"/>
          <w:szCs w:val="16"/>
        </w:rPr>
        <w:t xml:space="preserve">Livelli minimi di qualità commerciale dei servizi di vendita di gas naturale, di cui </w:t>
      </w:r>
      <w:r w:rsidR="00C604F3" w:rsidRPr="009272B3">
        <w:rPr>
          <w:rFonts w:ascii="Tahoma" w:hAnsi="Tahoma" w:cs="Tahoma"/>
          <w:b/>
          <w:bCs/>
          <w:sz w:val="16"/>
          <w:szCs w:val="16"/>
        </w:rPr>
        <w:t>all’Allegato A alla Delibera 413/2016/R/</w:t>
      </w:r>
      <w:proofErr w:type="spellStart"/>
      <w:r w:rsidR="00C604F3" w:rsidRPr="00C2403C">
        <w:rPr>
          <w:rFonts w:ascii="Tahoma" w:hAnsi="Tahoma" w:cs="Tahoma"/>
          <w:b/>
          <w:bCs/>
          <w:sz w:val="16"/>
          <w:szCs w:val="16"/>
        </w:rPr>
        <w:t>com</w:t>
      </w:r>
      <w:proofErr w:type="spellEnd"/>
      <w:r w:rsidR="00C604F3" w:rsidRPr="00C2403C">
        <w:rPr>
          <w:rFonts w:ascii="Tahoma" w:hAnsi="Tahoma" w:cs="Tahoma"/>
          <w:b/>
          <w:bCs/>
          <w:sz w:val="16"/>
          <w:szCs w:val="16"/>
        </w:rPr>
        <w:t xml:space="preserve"> </w:t>
      </w:r>
      <w:r w:rsidR="00CC3B21" w:rsidRPr="00C2403C">
        <w:rPr>
          <w:rFonts w:ascii="Tahoma" w:hAnsi="Tahoma" w:cs="Tahoma"/>
          <w:b/>
          <w:bCs/>
          <w:sz w:val="16"/>
          <w:szCs w:val="16"/>
        </w:rPr>
        <w:t>dell’</w:t>
      </w:r>
      <w:r w:rsidR="00CC3B21" w:rsidRPr="00C2403C">
        <w:rPr>
          <w:rFonts w:ascii="Arial Narrow" w:hAnsi="Arial Narrow"/>
          <w:b/>
          <w:iCs/>
          <w:sz w:val="19"/>
          <w:szCs w:val="19"/>
        </w:rPr>
        <w:t>Autorità di Regolazione per Energia, Reti e Ambiente (ARERA)</w:t>
      </w:r>
      <w:r w:rsidR="00CC3B21" w:rsidRPr="00C2403C">
        <w:rPr>
          <w:rFonts w:ascii="Arial Narrow" w:hAnsi="Arial Narrow"/>
          <w:iCs/>
          <w:sz w:val="19"/>
          <w:szCs w:val="19"/>
        </w:rPr>
        <w:t xml:space="preserve"> </w:t>
      </w:r>
      <w:r w:rsidR="00C604F3" w:rsidRPr="00C2403C">
        <w:rPr>
          <w:rFonts w:ascii="Tahoma" w:hAnsi="Tahoma" w:cs="Tahoma"/>
          <w:b/>
          <w:bCs/>
          <w:sz w:val="16"/>
          <w:szCs w:val="16"/>
        </w:rPr>
        <w:t xml:space="preserve">“Nuovo testo integrato della regolazione della qualità commerciale dei servizi di vendita e modifiche alla regolazione della </w:t>
      </w:r>
      <w:r w:rsidR="00C604F3" w:rsidRPr="009272B3">
        <w:rPr>
          <w:rFonts w:ascii="Tahoma" w:hAnsi="Tahoma" w:cs="Tahoma"/>
          <w:b/>
          <w:bCs/>
          <w:sz w:val="16"/>
          <w:szCs w:val="16"/>
        </w:rPr>
        <w:t xml:space="preserve">qualità commerciale del servizio di distribuzione dell’energia elettrica e del gas naturale, al codice di condotta commerciale e alla bolletta 2.0” e </w:t>
      </w:r>
      <w:proofErr w:type="spellStart"/>
      <w:r w:rsidR="00C604F3" w:rsidRPr="009272B3">
        <w:rPr>
          <w:rFonts w:ascii="Tahoma" w:hAnsi="Tahoma" w:cs="Tahoma"/>
          <w:b/>
          <w:bCs/>
          <w:sz w:val="16"/>
          <w:szCs w:val="16"/>
        </w:rPr>
        <w:t>s.m.i.</w:t>
      </w:r>
      <w:proofErr w:type="spellEnd"/>
    </w:p>
    <w:p w:rsidR="00693F8E" w:rsidRPr="009272B3" w:rsidRDefault="00693F8E" w:rsidP="005D6A49">
      <w:pPr>
        <w:autoSpaceDE w:val="0"/>
        <w:autoSpaceDN w:val="0"/>
        <w:adjustRightInd w:val="0"/>
        <w:jc w:val="both"/>
        <w:rPr>
          <w:rFonts w:ascii="Tahoma" w:hAnsi="Tahoma" w:cs="Tahoma"/>
          <w:b/>
          <w:bCs/>
          <w:sz w:val="14"/>
          <w:szCs w:val="14"/>
        </w:rPr>
      </w:pPr>
    </w:p>
    <w:p w:rsidR="005D6A49" w:rsidRPr="009272B3" w:rsidRDefault="005D6A49" w:rsidP="005D6A49">
      <w:pPr>
        <w:autoSpaceDE w:val="0"/>
        <w:autoSpaceDN w:val="0"/>
        <w:adjustRightInd w:val="0"/>
        <w:jc w:val="both"/>
        <w:rPr>
          <w:rFonts w:ascii="Tahoma" w:hAnsi="Tahoma" w:cs="Tahoma"/>
          <w:b/>
          <w:bCs/>
          <w:sz w:val="16"/>
          <w:szCs w:val="16"/>
        </w:rPr>
      </w:pPr>
      <w:r w:rsidRPr="009272B3">
        <w:rPr>
          <w:rFonts w:ascii="Tahoma" w:hAnsi="Tahoma" w:cs="Tahoma"/>
          <w:b/>
          <w:bCs/>
          <w:sz w:val="16"/>
          <w:szCs w:val="16"/>
        </w:rPr>
        <w:t xml:space="preserve">Livelli specifici di qualità commerciale del servizio di vendita </w:t>
      </w:r>
    </w:p>
    <w:tbl>
      <w:tblPr>
        <w:tblW w:w="9280" w:type="dxa"/>
        <w:jc w:val="center"/>
        <w:tblCellMar>
          <w:left w:w="70" w:type="dxa"/>
          <w:right w:w="70" w:type="dxa"/>
        </w:tblCellMar>
        <w:tblLook w:val="04A0" w:firstRow="1" w:lastRow="0" w:firstColumn="1" w:lastColumn="0" w:noHBand="0" w:noVBand="1"/>
      </w:tblPr>
      <w:tblGrid>
        <w:gridCol w:w="4760"/>
        <w:gridCol w:w="2260"/>
        <w:gridCol w:w="2260"/>
      </w:tblGrid>
      <w:tr w:rsidR="009272B3" w:rsidRPr="009272B3" w:rsidTr="001902ED">
        <w:trPr>
          <w:trHeight w:val="555"/>
          <w:jc w:val="center"/>
        </w:trPr>
        <w:tc>
          <w:tcPr>
            <w:tcW w:w="4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04F3" w:rsidRPr="009272B3" w:rsidRDefault="00C604F3" w:rsidP="001902ED">
            <w:pPr>
              <w:jc w:val="center"/>
              <w:rPr>
                <w:rFonts w:ascii="Tahoma" w:hAnsi="Tahoma" w:cs="Tahoma"/>
                <w:b/>
                <w:bCs/>
                <w:sz w:val="14"/>
                <w:szCs w:val="14"/>
              </w:rPr>
            </w:pPr>
            <w:r w:rsidRPr="009272B3">
              <w:rPr>
                <w:rFonts w:ascii="Tahoma" w:hAnsi="Tahoma" w:cs="Tahoma"/>
                <w:b/>
                <w:bCs/>
                <w:sz w:val="14"/>
                <w:szCs w:val="14"/>
              </w:rPr>
              <w:t>Indicatore</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C604F3" w:rsidRPr="009272B3" w:rsidRDefault="00C604F3" w:rsidP="001902ED">
            <w:pPr>
              <w:jc w:val="center"/>
              <w:rPr>
                <w:rFonts w:ascii="Tahoma" w:hAnsi="Tahoma" w:cs="Tahoma"/>
                <w:b/>
                <w:bCs/>
                <w:sz w:val="14"/>
                <w:szCs w:val="14"/>
              </w:rPr>
            </w:pPr>
            <w:r w:rsidRPr="009272B3">
              <w:rPr>
                <w:rFonts w:ascii="Tahoma" w:hAnsi="Tahoma" w:cs="Tahoma"/>
                <w:b/>
                <w:bCs/>
                <w:sz w:val="14"/>
                <w:szCs w:val="14"/>
              </w:rPr>
              <w:t>Standard specifico 2017-2018</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C604F3" w:rsidRPr="009272B3" w:rsidRDefault="00C604F3" w:rsidP="001902ED">
            <w:pPr>
              <w:jc w:val="center"/>
              <w:rPr>
                <w:rFonts w:ascii="Tahoma" w:hAnsi="Tahoma" w:cs="Tahoma"/>
                <w:b/>
                <w:bCs/>
                <w:sz w:val="14"/>
                <w:szCs w:val="14"/>
              </w:rPr>
            </w:pPr>
            <w:r w:rsidRPr="009272B3">
              <w:rPr>
                <w:rFonts w:ascii="Tahoma" w:hAnsi="Tahoma" w:cs="Tahoma"/>
                <w:b/>
                <w:bCs/>
                <w:sz w:val="14"/>
                <w:szCs w:val="14"/>
              </w:rPr>
              <w:t>Standard specifico dal 2019</w:t>
            </w:r>
          </w:p>
        </w:tc>
      </w:tr>
      <w:tr w:rsidR="009272B3" w:rsidRPr="009272B3" w:rsidTr="001902ED">
        <w:trPr>
          <w:trHeight w:val="37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C604F3" w:rsidRPr="009272B3" w:rsidRDefault="00C604F3" w:rsidP="001902ED">
            <w:pPr>
              <w:rPr>
                <w:rFonts w:ascii="Tahoma" w:hAnsi="Tahoma" w:cs="Tahoma"/>
                <w:sz w:val="14"/>
                <w:szCs w:val="14"/>
              </w:rPr>
            </w:pPr>
            <w:r w:rsidRPr="009272B3">
              <w:rPr>
                <w:rFonts w:ascii="Tahoma" w:hAnsi="Tahoma" w:cs="Tahoma"/>
                <w:sz w:val="14"/>
                <w:szCs w:val="14"/>
              </w:rPr>
              <w:t xml:space="preserve">Tempo massimo di risposta motivata ai reclami scritti </w:t>
            </w:r>
          </w:p>
        </w:tc>
        <w:tc>
          <w:tcPr>
            <w:tcW w:w="2260" w:type="dxa"/>
            <w:tcBorders>
              <w:top w:val="nil"/>
              <w:left w:val="nil"/>
              <w:bottom w:val="single" w:sz="8" w:space="0" w:color="auto"/>
              <w:right w:val="single" w:sz="8" w:space="0" w:color="auto"/>
            </w:tcBorders>
            <w:shd w:val="clear" w:color="auto" w:fill="auto"/>
            <w:vAlign w:val="center"/>
            <w:hideMark/>
          </w:tcPr>
          <w:p w:rsidR="00C604F3" w:rsidRPr="009272B3" w:rsidRDefault="00C604F3" w:rsidP="001902ED">
            <w:pPr>
              <w:jc w:val="center"/>
              <w:rPr>
                <w:rFonts w:ascii="Tahoma" w:hAnsi="Tahoma" w:cs="Tahoma"/>
                <w:sz w:val="14"/>
                <w:szCs w:val="14"/>
              </w:rPr>
            </w:pPr>
            <w:r w:rsidRPr="009272B3">
              <w:rPr>
                <w:rFonts w:ascii="Tahoma" w:hAnsi="Tahoma" w:cs="Tahoma"/>
                <w:sz w:val="14"/>
                <w:szCs w:val="14"/>
              </w:rPr>
              <w:t>40 giorni solari</w:t>
            </w:r>
          </w:p>
        </w:tc>
        <w:tc>
          <w:tcPr>
            <w:tcW w:w="2260" w:type="dxa"/>
            <w:tcBorders>
              <w:top w:val="nil"/>
              <w:left w:val="nil"/>
              <w:bottom w:val="single" w:sz="8" w:space="0" w:color="auto"/>
              <w:right w:val="single" w:sz="8" w:space="0" w:color="auto"/>
            </w:tcBorders>
            <w:shd w:val="clear" w:color="auto" w:fill="auto"/>
            <w:vAlign w:val="center"/>
            <w:hideMark/>
          </w:tcPr>
          <w:p w:rsidR="00C604F3" w:rsidRPr="009272B3" w:rsidRDefault="00C604F3" w:rsidP="001902ED">
            <w:pPr>
              <w:jc w:val="center"/>
              <w:rPr>
                <w:rFonts w:ascii="Tahoma" w:hAnsi="Tahoma" w:cs="Tahoma"/>
                <w:sz w:val="14"/>
                <w:szCs w:val="14"/>
              </w:rPr>
            </w:pPr>
            <w:r w:rsidRPr="009272B3">
              <w:rPr>
                <w:rFonts w:ascii="Tahoma" w:hAnsi="Tahoma" w:cs="Tahoma"/>
                <w:sz w:val="14"/>
                <w:szCs w:val="14"/>
              </w:rPr>
              <w:t>30 giorni solari</w:t>
            </w:r>
          </w:p>
        </w:tc>
      </w:tr>
      <w:tr w:rsidR="009272B3" w:rsidRPr="009272B3" w:rsidTr="001902ED">
        <w:trPr>
          <w:trHeight w:val="55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C604F3" w:rsidRPr="009272B3" w:rsidRDefault="00C604F3" w:rsidP="001902ED">
            <w:pPr>
              <w:rPr>
                <w:rFonts w:ascii="Tahoma" w:hAnsi="Tahoma" w:cs="Tahoma"/>
                <w:sz w:val="14"/>
                <w:szCs w:val="14"/>
              </w:rPr>
            </w:pPr>
            <w:r w:rsidRPr="009272B3">
              <w:rPr>
                <w:rFonts w:ascii="Tahoma" w:hAnsi="Tahoma" w:cs="Tahoma"/>
                <w:sz w:val="14"/>
                <w:szCs w:val="14"/>
              </w:rPr>
              <w:t xml:space="preserve">Tempo massimo di rettifica di fatturazione </w:t>
            </w:r>
          </w:p>
        </w:tc>
        <w:tc>
          <w:tcPr>
            <w:tcW w:w="2260" w:type="dxa"/>
            <w:tcBorders>
              <w:top w:val="nil"/>
              <w:left w:val="nil"/>
              <w:bottom w:val="single" w:sz="8" w:space="0" w:color="auto"/>
              <w:right w:val="single" w:sz="8" w:space="0" w:color="auto"/>
            </w:tcBorders>
            <w:shd w:val="clear" w:color="auto" w:fill="auto"/>
            <w:vAlign w:val="center"/>
            <w:hideMark/>
          </w:tcPr>
          <w:p w:rsidR="00C604F3" w:rsidRPr="009272B3" w:rsidRDefault="00C604F3" w:rsidP="001902ED">
            <w:pPr>
              <w:jc w:val="center"/>
              <w:rPr>
                <w:rFonts w:ascii="Tahoma" w:hAnsi="Tahoma" w:cs="Tahoma"/>
                <w:sz w:val="14"/>
                <w:szCs w:val="14"/>
              </w:rPr>
            </w:pPr>
            <w:r w:rsidRPr="009272B3">
              <w:rPr>
                <w:rFonts w:ascii="Tahoma" w:hAnsi="Tahoma" w:cs="Tahoma"/>
                <w:sz w:val="14"/>
                <w:szCs w:val="14"/>
              </w:rPr>
              <w:t>90 giorni solari</w:t>
            </w:r>
          </w:p>
        </w:tc>
        <w:tc>
          <w:tcPr>
            <w:tcW w:w="2260" w:type="dxa"/>
            <w:tcBorders>
              <w:top w:val="nil"/>
              <w:left w:val="nil"/>
              <w:bottom w:val="single" w:sz="8" w:space="0" w:color="auto"/>
              <w:right w:val="single" w:sz="8" w:space="0" w:color="auto"/>
            </w:tcBorders>
            <w:shd w:val="clear" w:color="auto" w:fill="auto"/>
            <w:vAlign w:val="center"/>
            <w:hideMark/>
          </w:tcPr>
          <w:p w:rsidR="00C604F3" w:rsidRPr="009272B3" w:rsidRDefault="00C604F3" w:rsidP="001902ED">
            <w:pPr>
              <w:jc w:val="center"/>
              <w:rPr>
                <w:rFonts w:ascii="Tahoma" w:hAnsi="Tahoma" w:cs="Tahoma"/>
                <w:sz w:val="14"/>
                <w:szCs w:val="14"/>
              </w:rPr>
            </w:pPr>
            <w:r w:rsidRPr="009272B3">
              <w:rPr>
                <w:rFonts w:ascii="Tahoma" w:hAnsi="Tahoma" w:cs="Tahoma"/>
                <w:sz w:val="14"/>
                <w:szCs w:val="14"/>
              </w:rPr>
              <w:t>60 giorni solari</w:t>
            </w:r>
            <w:r w:rsidRPr="009272B3">
              <w:rPr>
                <w:rFonts w:ascii="Tahoma" w:hAnsi="Tahoma" w:cs="Tahoma"/>
                <w:sz w:val="14"/>
                <w:szCs w:val="14"/>
              </w:rPr>
              <w:br/>
              <w:t>90 giorni solari per le fatture con periodicità quadrimestrale</w:t>
            </w:r>
          </w:p>
        </w:tc>
      </w:tr>
      <w:tr w:rsidR="009272B3" w:rsidRPr="009272B3" w:rsidTr="001902ED">
        <w:trPr>
          <w:trHeight w:val="37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C604F3" w:rsidRPr="009272B3" w:rsidRDefault="00C604F3" w:rsidP="001902ED">
            <w:pPr>
              <w:rPr>
                <w:rFonts w:ascii="Tahoma" w:hAnsi="Tahoma" w:cs="Tahoma"/>
                <w:sz w:val="14"/>
                <w:szCs w:val="14"/>
              </w:rPr>
            </w:pPr>
            <w:r w:rsidRPr="009272B3">
              <w:rPr>
                <w:rFonts w:ascii="Tahoma" w:hAnsi="Tahoma" w:cs="Tahoma"/>
                <w:sz w:val="14"/>
                <w:szCs w:val="14"/>
              </w:rPr>
              <w:t xml:space="preserve">Tempo massimo di rettifica di doppia fatturazione </w:t>
            </w:r>
          </w:p>
        </w:tc>
        <w:tc>
          <w:tcPr>
            <w:tcW w:w="2260" w:type="dxa"/>
            <w:tcBorders>
              <w:top w:val="nil"/>
              <w:left w:val="nil"/>
              <w:bottom w:val="single" w:sz="8" w:space="0" w:color="auto"/>
              <w:right w:val="single" w:sz="8" w:space="0" w:color="auto"/>
            </w:tcBorders>
            <w:shd w:val="clear" w:color="auto" w:fill="auto"/>
            <w:vAlign w:val="center"/>
            <w:hideMark/>
          </w:tcPr>
          <w:p w:rsidR="00C604F3" w:rsidRPr="009272B3" w:rsidRDefault="00C604F3" w:rsidP="001902ED">
            <w:pPr>
              <w:jc w:val="center"/>
              <w:rPr>
                <w:rFonts w:ascii="Tahoma" w:hAnsi="Tahoma" w:cs="Tahoma"/>
                <w:sz w:val="14"/>
                <w:szCs w:val="14"/>
              </w:rPr>
            </w:pPr>
            <w:r w:rsidRPr="009272B3">
              <w:rPr>
                <w:rFonts w:ascii="Tahoma" w:hAnsi="Tahoma" w:cs="Tahoma"/>
                <w:sz w:val="14"/>
                <w:szCs w:val="14"/>
              </w:rPr>
              <w:t>20 giorni solari</w:t>
            </w:r>
          </w:p>
        </w:tc>
        <w:tc>
          <w:tcPr>
            <w:tcW w:w="2260" w:type="dxa"/>
            <w:tcBorders>
              <w:top w:val="nil"/>
              <w:left w:val="nil"/>
              <w:bottom w:val="single" w:sz="8" w:space="0" w:color="auto"/>
              <w:right w:val="single" w:sz="8" w:space="0" w:color="auto"/>
            </w:tcBorders>
            <w:shd w:val="clear" w:color="auto" w:fill="auto"/>
            <w:vAlign w:val="center"/>
            <w:hideMark/>
          </w:tcPr>
          <w:p w:rsidR="00C604F3" w:rsidRPr="009272B3" w:rsidRDefault="00C604F3" w:rsidP="001902ED">
            <w:pPr>
              <w:jc w:val="center"/>
              <w:rPr>
                <w:rFonts w:ascii="Tahoma" w:hAnsi="Tahoma" w:cs="Tahoma"/>
                <w:sz w:val="14"/>
                <w:szCs w:val="14"/>
              </w:rPr>
            </w:pPr>
            <w:r w:rsidRPr="009272B3">
              <w:rPr>
                <w:rFonts w:ascii="Tahoma" w:hAnsi="Tahoma" w:cs="Tahoma"/>
                <w:sz w:val="14"/>
                <w:szCs w:val="14"/>
              </w:rPr>
              <w:t>20 giorni solari</w:t>
            </w:r>
          </w:p>
        </w:tc>
      </w:tr>
    </w:tbl>
    <w:p w:rsidR="005D6A49" w:rsidRPr="00693F8E" w:rsidRDefault="005D6A49" w:rsidP="005D6A49">
      <w:pPr>
        <w:autoSpaceDE w:val="0"/>
        <w:autoSpaceDN w:val="0"/>
        <w:adjustRightInd w:val="0"/>
        <w:rPr>
          <w:rFonts w:ascii="Tahoma" w:hAnsi="Tahoma" w:cs="Tahoma"/>
          <w:b/>
          <w:bCs/>
          <w:sz w:val="16"/>
          <w:szCs w:val="16"/>
        </w:rPr>
      </w:pPr>
    </w:p>
    <w:p w:rsidR="005D6A49" w:rsidRPr="00AE1FAA" w:rsidRDefault="005D6A49" w:rsidP="005D6A49">
      <w:pPr>
        <w:autoSpaceDE w:val="0"/>
        <w:autoSpaceDN w:val="0"/>
        <w:adjustRightInd w:val="0"/>
        <w:rPr>
          <w:rFonts w:ascii="Tahoma" w:hAnsi="Tahoma" w:cs="Tahoma"/>
          <w:b/>
          <w:bCs/>
          <w:sz w:val="16"/>
          <w:szCs w:val="16"/>
        </w:rPr>
      </w:pPr>
      <w:r w:rsidRPr="00AE1FAA">
        <w:rPr>
          <w:rFonts w:ascii="Tahoma" w:hAnsi="Tahoma" w:cs="Tahoma"/>
          <w:b/>
          <w:bCs/>
          <w:sz w:val="16"/>
          <w:szCs w:val="16"/>
        </w:rPr>
        <w:t>Indennizzi automatici per mancato rispetto dei livelli specifici di qualità commerciale</w:t>
      </w:r>
    </w:p>
    <w:p w:rsidR="005D6A49" w:rsidRPr="00693F8E" w:rsidRDefault="005D6A49" w:rsidP="005D6A49">
      <w:pPr>
        <w:autoSpaceDE w:val="0"/>
        <w:autoSpaceDN w:val="0"/>
        <w:adjustRightInd w:val="0"/>
        <w:jc w:val="both"/>
        <w:rPr>
          <w:rFonts w:ascii="Tahoma" w:hAnsi="Tahoma" w:cs="Tahoma"/>
          <w:sz w:val="16"/>
          <w:szCs w:val="16"/>
        </w:rPr>
      </w:pPr>
      <w:r w:rsidRPr="00693F8E">
        <w:rPr>
          <w:rFonts w:ascii="Tahoma" w:hAnsi="Tahoma" w:cs="Tahoma"/>
          <w:sz w:val="16"/>
          <w:szCs w:val="16"/>
        </w:rPr>
        <w:t>In caso di mancato rispetto degli standard specifici di qualità, il venditore corrisponde al cliente finale un indennizzo automatico base, secondo quanto indicato nella seguente tabella.</w:t>
      </w:r>
    </w:p>
    <w:p w:rsidR="005D6A49" w:rsidRDefault="005D6A49" w:rsidP="005D6A49">
      <w:pPr>
        <w:autoSpaceDE w:val="0"/>
        <w:autoSpaceDN w:val="0"/>
        <w:adjustRightInd w:val="0"/>
        <w:jc w:val="both"/>
        <w:rPr>
          <w:rFonts w:ascii="Tahoma" w:hAnsi="Tahoma" w:cs="Tahoma"/>
          <w:sz w:val="16"/>
          <w:szCs w:val="16"/>
        </w:rPr>
      </w:pPr>
    </w:p>
    <w:tbl>
      <w:tblPr>
        <w:tblStyle w:val="Grigliatabel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410"/>
        <w:gridCol w:w="2693"/>
        <w:gridCol w:w="2410"/>
      </w:tblGrid>
      <w:tr w:rsidR="00051DB5" w:rsidRPr="00051DB5" w:rsidTr="00DC63D4">
        <w:trPr>
          <w:trHeight w:val="655"/>
        </w:trPr>
        <w:tc>
          <w:tcPr>
            <w:tcW w:w="2268" w:type="dxa"/>
            <w:tcBorders>
              <w:bottom w:val="single" w:sz="4" w:space="0" w:color="auto"/>
              <w:right w:val="single" w:sz="4" w:space="0" w:color="auto"/>
            </w:tcBorders>
            <w:vAlign w:val="center"/>
          </w:tcPr>
          <w:p w:rsidR="00C2403C" w:rsidRPr="00051DB5" w:rsidRDefault="00C2403C" w:rsidP="006D0AF9">
            <w:pPr>
              <w:autoSpaceDE w:val="0"/>
              <w:autoSpaceDN w:val="0"/>
              <w:adjustRightInd w:val="0"/>
              <w:jc w:val="center"/>
              <w:rPr>
                <w:rFonts w:ascii="Tahoma" w:hAnsi="Tahoma" w:cs="Tahoma"/>
                <w:sz w:val="14"/>
                <w:szCs w:val="14"/>
              </w:rPr>
            </w:pPr>
          </w:p>
        </w:tc>
        <w:tc>
          <w:tcPr>
            <w:tcW w:w="2410" w:type="dxa"/>
            <w:tcBorders>
              <w:top w:val="single" w:sz="4" w:space="0" w:color="auto"/>
              <w:left w:val="single" w:sz="4" w:space="0" w:color="auto"/>
              <w:bottom w:val="single" w:sz="4" w:space="0" w:color="auto"/>
              <w:right w:val="single" w:sz="4" w:space="0" w:color="auto"/>
            </w:tcBorders>
            <w:vAlign w:val="center"/>
          </w:tcPr>
          <w:p w:rsidR="00C2403C" w:rsidRPr="00051DB5" w:rsidRDefault="00C2403C" w:rsidP="00693F8E">
            <w:pPr>
              <w:autoSpaceDE w:val="0"/>
              <w:autoSpaceDN w:val="0"/>
              <w:adjustRightInd w:val="0"/>
              <w:ind w:right="-108"/>
              <w:jc w:val="center"/>
              <w:rPr>
                <w:rFonts w:ascii="Tahoma" w:hAnsi="Tahoma" w:cs="Tahoma"/>
                <w:sz w:val="14"/>
                <w:szCs w:val="14"/>
              </w:rPr>
            </w:pPr>
            <w:r w:rsidRPr="00051DB5">
              <w:rPr>
                <w:rFonts w:ascii="Tahoma" w:hAnsi="Tahoma" w:cs="Tahoma"/>
                <w:sz w:val="14"/>
                <w:szCs w:val="14"/>
              </w:rPr>
              <w:t>Prestazione eseguita oltre il tempo standard, ma entro un tempo doppio dello standard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2403C" w:rsidRPr="00051DB5" w:rsidRDefault="00C2403C" w:rsidP="00693F8E">
            <w:pPr>
              <w:autoSpaceDE w:val="0"/>
              <w:autoSpaceDN w:val="0"/>
              <w:adjustRightInd w:val="0"/>
              <w:ind w:right="-58"/>
              <w:jc w:val="center"/>
              <w:rPr>
                <w:rFonts w:ascii="Tahoma" w:hAnsi="Tahoma" w:cs="Tahoma"/>
                <w:sz w:val="14"/>
                <w:szCs w:val="14"/>
              </w:rPr>
            </w:pPr>
            <w:r w:rsidRPr="00051DB5">
              <w:rPr>
                <w:rFonts w:ascii="Tahoma" w:hAnsi="Tahoma" w:cs="Tahoma"/>
                <w:sz w:val="14"/>
                <w:szCs w:val="14"/>
              </w:rPr>
              <w:t>Prestazione eseguita oltre un tempo doppio, ma entro un tempo triplo dello standard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2403C" w:rsidRPr="00051DB5" w:rsidRDefault="00C2403C" w:rsidP="00693F8E">
            <w:pPr>
              <w:autoSpaceDE w:val="0"/>
              <w:autoSpaceDN w:val="0"/>
              <w:adjustRightInd w:val="0"/>
              <w:ind w:right="-86"/>
              <w:jc w:val="center"/>
              <w:rPr>
                <w:rFonts w:ascii="Tahoma" w:hAnsi="Tahoma" w:cs="Tahoma"/>
                <w:sz w:val="14"/>
                <w:szCs w:val="14"/>
              </w:rPr>
            </w:pPr>
            <w:r w:rsidRPr="00051DB5">
              <w:rPr>
                <w:rFonts w:ascii="Tahoma" w:hAnsi="Tahoma" w:cs="Tahoma"/>
                <w:sz w:val="14"/>
                <w:szCs w:val="14"/>
              </w:rPr>
              <w:t>Prestazione eseguita oltre il triplo del tempo standard</w:t>
            </w:r>
          </w:p>
        </w:tc>
      </w:tr>
      <w:tr w:rsidR="00051DB5" w:rsidRPr="00051DB5" w:rsidTr="00DC63D4">
        <w:trPr>
          <w:trHeight w:val="655"/>
        </w:trPr>
        <w:tc>
          <w:tcPr>
            <w:tcW w:w="2268" w:type="dxa"/>
            <w:tcBorders>
              <w:top w:val="single" w:sz="4" w:space="0" w:color="auto"/>
              <w:left w:val="single" w:sz="4" w:space="0" w:color="auto"/>
              <w:bottom w:val="single" w:sz="4" w:space="0" w:color="auto"/>
              <w:right w:val="single" w:sz="4" w:space="0" w:color="auto"/>
            </w:tcBorders>
            <w:vAlign w:val="center"/>
          </w:tcPr>
          <w:p w:rsidR="005D6A49" w:rsidRPr="00051DB5" w:rsidRDefault="005D6A49" w:rsidP="006D0AF9">
            <w:pPr>
              <w:autoSpaceDE w:val="0"/>
              <w:autoSpaceDN w:val="0"/>
              <w:adjustRightInd w:val="0"/>
              <w:jc w:val="center"/>
              <w:rPr>
                <w:rFonts w:ascii="Tahoma" w:hAnsi="Tahoma" w:cs="Tahoma"/>
                <w:sz w:val="14"/>
                <w:szCs w:val="14"/>
              </w:rPr>
            </w:pPr>
            <w:r w:rsidRPr="00051DB5">
              <w:rPr>
                <w:rFonts w:ascii="Tahoma" w:hAnsi="Tahoma" w:cs="Tahoma"/>
                <w:sz w:val="14"/>
                <w:szCs w:val="14"/>
              </w:rPr>
              <w:t>Mancato rispetto del tempo massimo di rettifica di fatturazione</w:t>
            </w:r>
          </w:p>
        </w:tc>
        <w:tc>
          <w:tcPr>
            <w:tcW w:w="2410" w:type="dxa"/>
            <w:tcBorders>
              <w:top w:val="single" w:sz="4" w:space="0" w:color="auto"/>
              <w:left w:val="single" w:sz="4" w:space="0" w:color="auto"/>
              <w:bottom w:val="single" w:sz="4" w:space="0" w:color="auto"/>
              <w:right w:val="single" w:sz="4" w:space="0" w:color="auto"/>
            </w:tcBorders>
            <w:vAlign w:val="center"/>
          </w:tcPr>
          <w:p w:rsidR="005D6A49" w:rsidRPr="00051DB5" w:rsidRDefault="00DC63D4" w:rsidP="00693F8E">
            <w:pPr>
              <w:autoSpaceDE w:val="0"/>
              <w:autoSpaceDN w:val="0"/>
              <w:adjustRightInd w:val="0"/>
              <w:ind w:right="-108"/>
              <w:jc w:val="center"/>
              <w:rPr>
                <w:rFonts w:ascii="Tahoma" w:hAnsi="Tahoma" w:cs="Tahoma"/>
                <w:sz w:val="14"/>
                <w:szCs w:val="14"/>
              </w:rPr>
            </w:pPr>
            <w:r w:rsidRPr="00051DB5">
              <w:rPr>
                <w:rFonts w:ascii="Tahoma" w:hAnsi="Tahoma" w:cs="Tahoma"/>
                <w:sz w:val="14"/>
                <w:szCs w:val="14"/>
              </w:rPr>
              <w:t>25 euro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D6A49" w:rsidRPr="00051DB5" w:rsidRDefault="00DC63D4" w:rsidP="00693F8E">
            <w:pPr>
              <w:autoSpaceDE w:val="0"/>
              <w:autoSpaceDN w:val="0"/>
              <w:adjustRightInd w:val="0"/>
              <w:ind w:right="-58"/>
              <w:jc w:val="center"/>
              <w:rPr>
                <w:rFonts w:ascii="Tahoma" w:hAnsi="Tahoma" w:cs="Tahoma"/>
                <w:sz w:val="14"/>
                <w:szCs w:val="14"/>
              </w:rPr>
            </w:pPr>
            <w:r w:rsidRPr="00051DB5">
              <w:rPr>
                <w:rFonts w:ascii="Tahoma" w:hAnsi="Tahoma" w:cs="Tahoma"/>
                <w:sz w:val="14"/>
                <w:szCs w:val="14"/>
              </w:rPr>
              <w:t>50 euro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6A49" w:rsidRPr="00051DB5" w:rsidRDefault="00DC63D4" w:rsidP="00693F8E">
            <w:pPr>
              <w:autoSpaceDE w:val="0"/>
              <w:autoSpaceDN w:val="0"/>
              <w:adjustRightInd w:val="0"/>
              <w:ind w:right="-86"/>
              <w:jc w:val="center"/>
              <w:rPr>
                <w:rFonts w:ascii="Tahoma" w:hAnsi="Tahoma" w:cs="Tahoma"/>
                <w:sz w:val="14"/>
                <w:szCs w:val="14"/>
              </w:rPr>
            </w:pPr>
            <w:r w:rsidRPr="00051DB5">
              <w:rPr>
                <w:rFonts w:ascii="Tahoma" w:hAnsi="Tahoma" w:cs="Tahoma"/>
                <w:sz w:val="14"/>
                <w:szCs w:val="14"/>
              </w:rPr>
              <w:t>75 euro</w:t>
            </w:r>
          </w:p>
        </w:tc>
      </w:tr>
      <w:tr w:rsidR="00051DB5" w:rsidRPr="00051DB5" w:rsidTr="00DC63D4">
        <w:trPr>
          <w:trHeight w:val="165"/>
        </w:trPr>
        <w:tc>
          <w:tcPr>
            <w:tcW w:w="2268" w:type="dxa"/>
            <w:tcBorders>
              <w:top w:val="single" w:sz="4" w:space="0" w:color="auto"/>
              <w:left w:val="single" w:sz="4" w:space="0" w:color="auto"/>
              <w:bottom w:val="single" w:sz="4" w:space="0" w:color="auto"/>
              <w:right w:val="single" w:sz="4" w:space="0" w:color="auto"/>
            </w:tcBorders>
            <w:vAlign w:val="center"/>
          </w:tcPr>
          <w:p w:rsidR="00DC63D4" w:rsidRPr="00051DB5" w:rsidRDefault="00DC63D4" w:rsidP="00DC63D4">
            <w:pPr>
              <w:autoSpaceDE w:val="0"/>
              <w:autoSpaceDN w:val="0"/>
              <w:adjustRightInd w:val="0"/>
              <w:jc w:val="center"/>
              <w:rPr>
                <w:rFonts w:ascii="Tahoma" w:hAnsi="Tahoma" w:cs="Tahoma"/>
                <w:sz w:val="14"/>
                <w:szCs w:val="14"/>
              </w:rPr>
            </w:pPr>
            <w:r w:rsidRPr="00051DB5">
              <w:rPr>
                <w:rFonts w:ascii="Tahoma" w:hAnsi="Tahoma" w:cs="Tahoma"/>
                <w:sz w:val="14"/>
                <w:szCs w:val="14"/>
              </w:rPr>
              <w:t>Mancato rispetto del tempo di rettifica di doppia fatturazione</w:t>
            </w:r>
          </w:p>
        </w:tc>
        <w:tc>
          <w:tcPr>
            <w:tcW w:w="2410" w:type="dxa"/>
            <w:tcBorders>
              <w:top w:val="single" w:sz="4" w:space="0" w:color="auto"/>
              <w:left w:val="single" w:sz="4" w:space="0" w:color="auto"/>
              <w:bottom w:val="single" w:sz="4" w:space="0" w:color="auto"/>
              <w:right w:val="single" w:sz="4" w:space="0" w:color="auto"/>
            </w:tcBorders>
            <w:vAlign w:val="center"/>
          </w:tcPr>
          <w:p w:rsidR="00DC63D4" w:rsidRPr="00051DB5" w:rsidRDefault="00DC63D4" w:rsidP="00DC63D4">
            <w:pPr>
              <w:autoSpaceDE w:val="0"/>
              <w:autoSpaceDN w:val="0"/>
              <w:adjustRightInd w:val="0"/>
              <w:jc w:val="center"/>
              <w:rPr>
                <w:rFonts w:ascii="Tahoma" w:hAnsi="Tahoma" w:cs="Tahoma"/>
                <w:sz w:val="14"/>
                <w:szCs w:val="14"/>
              </w:rPr>
            </w:pPr>
            <w:r w:rsidRPr="00051DB5">
              <w:rPr>
                <w:rFonts w:ascii="Tahoma" w:hAnsi="Tahoma" w:cs="Tahoma"/>
                <w:sz w:val="14"/>
                <w:szCs w:val="14"/>
              </w:rPr>
              <w:t>25 euro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C63D4" w:rsidRPr="00051DB5" w:rsidRDefault="00DC63D4" w:rsidP="00DC63D4">
            <w:pPr>
              <w:autoSpaceDE w:val="0"/>
              <w:autoSpaceDN w:val="0"/>
              <w:adjustRightInd w:val="0"/>
              <w:jc w:val="center"/>
              <w:rPr>
                <w:rFonts w:ascii="Tahoma" w:hAnsi="Tahoma" w:cs="Tahoma"/>
                <w:sz w:val="14"/>
                <w:szCs w:val="14"/>
              </w:rPr>
            </w:pPr>
            <w:r w:rsidRPr="00051DB5">
              <w:rPr>
                <w:rFonts w:ascii="Tahoma" w:hAnsi="Tahoma" w:cs="Tahoma"/>
                <w:sz w:val="14"/>
                <w:szCs w:val="14"/>
              </w:rPr>
              <w:t>50 euro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63D4" w:rsidRPr="00051DB5" w:rsidRDefault="00DC63D4" w:rsidP="00DC63D4">
            <w:pPr>
              <w:autoSpaceDE w:val="0"/>
              <w:autoSpaceDN w:val="0"/>
              <w:adjustRightInd w:val="0"/>
              <w:jc w:val="center"/>
              <w:rPr>
                <w:rFonts w:ascii="Tahoma" w:hAnsi="Tahoma" w:cs="Tahoma"/>
                <w:sz w:val="14"/>
                <w:szCs w:val="14"/>
              </w:rPr>
            </w:pPr>
            <w:r w:rsidRPr="00051DB5">
              <w:rPr>
                <w:rFonts w:ascii="Tahoma" w:hAnsi="Tahoma" w:cs="Tahoma"/>
                <w:sz w:val="14"/>
                <w:szCs w:val="14"/>
              </w:rPr>
              <w:t>75 euro</w:t>
            </w:r>
          </w:p>
        </w:tc>
      </w:tr>
      <w:tr w:rsidR="00051DB5" w:rsidRPr="00051DB5" w:rsidTr="00DC63D4">
        <w:trPr>
          <w:trHeight w:val="180"/>
        </w:trPr>
        <w:tc>
          <w:tcPr>
            <w:tcW w:w="2268" w:type="dxa"/>
            <w:tcBorders>
              <w:top w:val="single" w:sz="4" w:space="0" w:color="auto"/>
              <w:left w:val="single" w:sz="4" w:space="0" w:color="auto"/>
              <w:bottom w:val="single" w:sz="4" w:space="0" w:color="auto"/>
              <w:right w:val="single" w:sz="4" w:space="0" w:color="auto"/>
            </w:tcBorders>
            <w:vAlign w:val="center"/>
          </w:tcPr>
          <w:p w:rsidR="00DC63D4" w:rsidRPr="00051DB5" w:rsidRDefault="00DC63D4" w:rsidP="00DC63D4">
            <w:pPr>
              <w:autoSpaceDE w:val="0"/>
              <w:autoSpaceDN w:val="0"/>
              <w:adjustRightInd w:val="0"/>
              <w:jc w:val="center"/>
              <w:rPr>
                <w:rFonts w:ascii="Tahoma" w:hAnsi="Tahoma" w:cs="Tahoma"/>
                <w:sz w:val="14"/>
                <w:szCs w:val="14"/>
              </w:rPr>
            </w:pPr>
            <w:r w:rsidRPr="00051DB5">
              <w:rPr>
                <w:rFonts w:ascii="Tahoma" w:hAnsi="Tahoma" w:cs="Tahoma"/>
                <w:sz w:val="14"/>
                <w:szCs w:val="14"/>
              </w:rPr>
              <w:t>Mancato rispetto del tempo di risposta a reclami scritti</w:t>
            </w:r>
          </w:p>
        </w:tc>
        <w:tc>
          <w:tcPr>
            <w:tcW w:w="2410" w:type="dxa"/>
            <w:tcBorders>
              <w:top w:val="single" w:sz="4" w:space="0" w:color="auto"/>
              <w:left w:val="single" w:sz="4" w:space="0" w:color="auto"/>
              <w:bottom w:val="single" w:sz="4" w:space="0" w:color="auto"/>
              <w:right w:val="single" w:sz="4" w:space="0" w:color="auto"/>
            </w:tcBorders>
            <w:vAlign w:val="center"/>
          </w:tcPr>
          <w:p w:rsidR="00DC63D4" w:rsidRPr="00051DB5" w:rsidRDefault="00DC63D4" w:rsidP="00DC63D4">
            <w:pPr>
              <w:autoSpaceDE w:val="0"/>
              <w:autoSpaceDN w:val="0"/>
              <w:adjustRightInd w:val="0"/>
              <w:jc w:val="center"/>
              <w:rPr>
                <w:rFonts w:ascii="Tahoma" w:hAnsi="Tahoma" w:cs="Tahoma"/>
                <w:sz w:val="14"/>
                <w:szCs w:val="14"/>
              </w:rPr>
            </w:pPr>
            <w:r w:rsidRPr="00051DB5">
              <w:rPr>
                <w:rFonts w:ascii="Tahoma" w:hAnsi="Tahoma" w:cs="Tahoma"/>
                <w:sz w:val="14"/>
                <w:szCs w:val="14"/>
              </w:rPr>
              <w:t>25 euro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C63D4" w:rsidRPr="00051DB5" w:rsidRDefault="00DC63D4" w:rsidP="00DC63D4">
            <w:pPr>
              <w:autoSpaceDE w:val="0"/>
              <w:autoSpaceDN w:val="0"/>
              <w:adjustRightInd w:val="0"/>
              <w:jc w:val="center"/>
              <w:rPr>
                <w:rFonts w:ascii="Tahoma" w:hAnsi="Tahoma" w:cs="Tahoma"/>
                <w:sz w:val="14"/>
                <w:szCs w:val="14"/>
              </w:rPr>
            </w:pPr>
            <w:r w:rsidRPr="00051DB5">
              <w:rPr>
                <w:rFonts w:ascii="Tahoma" w:hAnsi="Tahoma" w:cs="Tahoma"/>
                <w:sz w:val="14"/>
                <w:szCs w:val="14"/>
              </w:rPr>
              <w:t>50 euro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63D4" w:rsidRPr="00051DB5" w:rsidRDefault="00DC63D4" w:rsidP="00DC63D4">
            <w:pPr>
              <w:autoSpaceDE w:val="0"/>
              <w:autoSpaceDN w:val="0"/>
              <w:adjustRightInd w:val="0"/>
              <w:jc w:val="center"/>
              <w:rPr>
                <w:rFonts w:ascii="Tahoma" w:hAnsi="Tahoma" w:cs="Tahoma"/>
                <w:sz w:val="14"/>
                <w:szCs w:val="14"/>
              </w:rPr>
            </w:pPr>
            <w:r w:rsidRPr="00051DB5">
              <w:rPr>
                <w:rFonts w:ascii="Tahoma" w:hAnsi="Tahoma" w:cs="Tahoma"/>
                <w:sz w:val="14"/>
                <w:szCs w:val="14"/>
              </w:rPr>
              <w:t>75 euro</w:t>
            </w:r>
          </w:p>
        </w:tc>
      </w:tr>
    </w:tbl>
    <w:p w:rsidR="005D6A49" w:rsidRPr="009272B3" w:rsidRDefault="005D6A49" w:rsidP="005D6A49">
      <w:pPr>
        <w:autoSpaceDE w:val="0"/>
        <w:autoSpaceDN w:val="0"/>
        <w:adjustRightInd w:val="0"/>
        <w:rPr>
          <w:rFonts w:ascii="Tahoma" w:hAnsi="Tahoma" w:cs="Tahoma"/>
          <w:sz w:val="16"/>
          <w:szCs w:val="16"/>
        </w:rPr>
      </w:pPr>
    </w:p>
    <w:p w:rsidR="005D6A49" w:rsidRPr="009272B3" w:rsidRDefault="00C604F3" w:rsidP="005D6A49">
      <w:pPr>
        <w:autoSpaceDE w:val="0"/>
        <w:autoSpaceDN w:val="0"/>
        <w:adjustRightInd w:val="0"/>
        <w:jc w:val="both"/>
        <w:rPr>
          <w:rFonts w:ascii="Tahoma" w:hAnsi="Tahoma" w:cs="Tahoma"/>
          <w:sz w:val="16"/>
          <w:szCs w:val="16"/>
        </w:rPr>
      </w:pPr>
      <w:r w:rsidRPr="009272B3">
        <w:rPr>
          <w:rFonts w:ascii="Tahoma" w:hAnsi="Tahoma" w:cs="Tahoma"/>
          <w:sz w:val="16"/>
          <w:szCs w:val="16"/>
        </w:rPr>
        <w:t>Gli indennizzi automatici saranno corrisposti al Cliente finale attraverso la detrazione dall’importo addebitato nella prima fattura utile e comunque entro 6 mesi dalla data di ricevimento da parte del Fornitore del reclamo scritto o dalla richiesta scritta di rettifica di fatturazione o di doppia fatturazione. Il Fornitore non è tenuto a corrispondere gli indennizzi automatici di cui sopra qualora il mancato rispetto del tempo massimo dell’esecuzione della prestazione sia dovuto a causa di forza maggiore quali atti di autorità pubblica, eventi naturali eccezionali per i quali sia dichiarato lo stato di calamità dall’autorità competente, scioperi indetti senza il preavviso previsto per legge, mancato ottenimento di atti autorizzativi, o per cause imputabili al Cliente o a terzi, ovvero danni o impedimenti provocati da terzi, a titolo di esempio, solo limitatamente agli standard generali, rientrano eventuali ritardi del distributore a mettere a disposizione i dati tecnici richiesti dal Fornitore. Inoltre</w:t>
      </w:r>
      <w:r w:rsidR="00DC63D4">
        <w:rPr>
          <w:rFonts w:ascii="Tahoma" w:hAnsi="Tahoma" w:cs="Tahoma"/>
          <w:sz w:val="16"/>
          <w:szCs w:val="16"/>
        </w:rPr>
        <w:t>,</w:t>
      </w:r>
      <w:r w:rsidRPr="009272B3">
        <w:rPr>
          <w:rFonts w:ascii="Tahoma" w:hAnsi="Tahoma" w:cs="Tahoma"/>
          <w:sz w:val="16"/>
          <w:szCs w:val="16"/>
        </w:rPr>
        <w:t xml:space="preserve"> il Fornitore non è tenuto alla corresponsione dell’indennizzo automatico nel caso in cui al Cliente sia stato già corrisposto un indennizzo per mancato rispetto del medesimo livello specifico nell’anno solare in corso o in caso di reclami per cui non sia possibile identificare il Cliente finale, per assenza delle informazioni minime riportate nelle Condizioni Generali di fornitura. </w:t>
      </w:r>
      <w:r w:rsidR="005D6A49" w:rsidRPr="009272B3">
        <w:rPr>
          <w:rFonts w:ascii="Tahoma" w:hAnsi="Tahoma" w:cs="Tahoma"/>
          <w:sz w:val="16"/>
          <w:szCs w:val="16"/>
        </w:rPr>
        <w:t>La corresponsione dell'indennizzo automatico non esclude la possibilità per il cliente di richiedere nelle opportune sedi il risarcimento dell'eventuale danno ulteriore subito.</w:t>
      </w:r>
    </w:p>
    <w:p w:rsidR="005D6A49" w:rsidRPr="00693F8E" w:rsidRDefault="005D6A49" w:rsidP="005D6A49">
      <w:pPr>
        <w:autoSpaceDE w:val="0"/>
        <w:autoSpaceDN w:val="0"/>
        <w:adjustRightInd w:val="0"/>
        <w:jc w:val="both"/>
        <w:rPr>
          <w:rFonts w:ascii="Tahoma" w:hAnsi="Tahoma" w:cs="Tahoma"/>
          <w:b/>
          <w:bCs/>
          <w:sz w:val="16"/>
          <w:szCs w:val="16"/>
        </w:rPr>
      </w:pPr>
    </w:p>
    <w:p w:rsidR="005D6A49" w:rsidRPr="00AE1FAA" w:rsidRDefault="005D6A49" w:rsidP="005D6A49">
      <w:pPr>
        <w:autoSpaceDE w:val="0"/>
        <w:autoSpaceDN w:val="0"/>
        <w:adjustRightInd w:val="0"/>
        <w:jc w:val="both"/>
        <w:rPr>
          <w:rFonts w:ascii="Tahoma" w:hAnsi="Tahoma" w:cs="Tahoma"/>
          <w:b/>
          <w:bCs/>
          <w:sz w:val="16"/>
          <w:szCs w:val="16"/>
        </w:rPr>
      </w:pPr>
      <w:r w:rsidRPr="00AE1FAA">
        <w:rPr>
          <w:rFonts w:ascii="Tahoma" w:hAnsi="Tahoma" w:cs="Tahoma"/>
          <w:b/>
          <w:bCs/>
          <w:sz w:val="16"/>
          <w:szCs w:val="16"/>
        </w:rPr>
        <w:t xml:space="preserve">Livelli generali di qualità commerciale del servizio di vendita </w:t>
      </w:r>
    </w:p>
    <w:tbl>
      <w:tblPr>
        <w:tblStyle w:val="Grigliatabella"/>
        <w:tblW w:w="0" w:type="auto"/>
        <w:tblInd w:w="108" w:type="dxa"/>
        <w:tblLook w:val="01E0" w:firstRow="1" w:lastRow="1" w:firstColumn="1" w:lastColumn="1" w:noHBand="0" w:noVBand="0"/>
      </w:tblPr>
      <w:tblGrid>
        <w:gridCol w:w="7212"/>
        <w:gridCol w:w="506"/>
      </w:tblGrid>
      <w:tr w:rsidR="005D6A49" w:rsidRPr="00693F8E" w:rsidTr="00693F8E">
        <w:trPr>
          <w:trHeight w:val="286"/>
        </w:trPr>
        <w:tc>
          <w:tcPr>
            <w:tcW w:w="0" w:type="auto"/>
            <w:vAlign w:val="center"/>
          </w:tcPr>
          <w:p w:rsidR="005D6A49" w:rsidRPr="00693F8E" w:rsidRDefault="005D6A49" w:rsidP="006D0AF9">
            <w:pPr>
              <w:autoSpaceDE w:val="0"/>
              <w:autoSpaceDN w:val="0"/>
              <w:adjustRightInd w:val="0"/>
              <w:rPr>
                <w:rFonts w:ascii="Tahoma" w:hAnsi="Tahoma" w:cs="Tahoma"/>
                <w:sz w:val="14"/>
                <w:szCs w:val="14"/>
              </w:rPr>
            </w:pPr>
            <w:r w:rsidRPr="00693F8E">
              <w:rPr>
                <w:rFonts w:ascii="Tahoma" w:hAnsi="Tahoma" w:cs="Tahoma"/>
                <w:sz w:val="14"/>
                <w:szCs w:val="14"/>
              </w:rPr>
              <w:t>Percentuale minima di risposte a richieste scritte di informazioni inviate entro il tempo massimo di 30 giorni solari</w:t>
            </w:r>
          </w:p>
        </w:tc>
        <w:tc>
          <w:tcPr>
            <w:tcW w:w="0" w:type="auto"/>
            <w:vAlign w:val="center"/>
          </w:tcPr>
          <w:p w:rsidR="005D6A49" w:rsidRPr="00693F8E" w:rsidRDefault="005D6A49" w:rsidP="006D0AF9">
            <w:pPr>
              <w:autoSpaceDE w:val="0"/>
              <w:autoSpaceDN w:val="0"/>
              <w:adjustRightInd w:val="0"/>
              <w:jc w:val="center"/>
              <w:rPr>
                <w:rFonts w:ascii="Tahoma" w:hAnsi="Tahoma" w:cs="Tahoma"/>
                <w:sz w:val="14"/>
                <w:szCs w:val="14"/>
              </w:rPr>
            </w:pPr>
            <w:r w:rsidRPr="00693F8E">
              <w:rPr>
                <w:rFonts w:ascii="Tahoma" w:hAnsi="Tahoma" w:cs="Tahoma"/>
                <w:sz w:val="14"/>
                <w:szCs w:val="14"/>
              </w:rPr>
              <w:t>95%</w:t>
            </w:r>
          </w:p>
        </w:tc>
      </w:tr>
    </w:tbl>
    <w:p w:rsidR="005D6A49" w:rsidRDefault="005D6A49" w:rsidP="005D6A49">
      <w:pPr>
        <w:autoSpaceDE w:val="0"/>
        <w:autoSpaceDN w:val="0"/>
        <w:adjustRightInd w:val="0"/>
        <w:rPr>
          <w:rFonts w:ascii="Tahoma" w:hAnsi="Tahoma" w:cs="Tahoma"/>
          <w:sz w:val="14"/>
          <w:szCs w:val="14"/>
        </w:rPr>
      </w:pPr>
    </w:p>
    <w:p w:rsidR="00793C01" w:rsidRPr="00E74B6B" w:rsidRDefault="00793C01" w:rsidP="00793C01">
      <w:pPr>
        <w:autoSpaceDE w:val="0"/>
        <w:autoSpaceDN w:val="0"/>
        <w:adjustRightInd w:val="0"/>
        <w:jc w:val="both"/>
        <w:rPr>
          <w:rFonts w:ascii="Tahoma" w:hAnsi="Tahoma" w:cs="Tahoma"/>
          <w:b/>
          <w:bCs/>
          <w:sz w:val="16"/>
          <w:szCs w:val="16"/>
        </w:rPr>
      </w:pPr>
      <w:r w:rsidRPr="00E74B6B">
        <w:rPr>
          <w:rFonts w:ascii="Tahoma" w:hAnsi="Tahoma" w:cs="Tahoma"/>
          <w:b/>
          <w:bCs/>
          <w:sz w:val="16"/>
          <w:szCs w:val="16"/>
        </w:rPr>
        <w:t>Livelli generali di qualità commerciale del servizio di distribuzione di competenza del venditore</w:t>
      </w:r>
    </w:p>
    <w:tbl>
      <w:tblPr>
        <w:tblStyle w:val="Grigliatabella"/>
        <w:tblW w:w="0" w:type="auto"/>
        <w:tblInd w:w="108" w:type="dxa"/>
        <w:tblLook w:val="01E0" w:firstRow="1" w:lastRow="1" w:firstColumn="1" w:lastColumn="1" w:noHBand="0" w:noVBand="0"/>
      </w:tblPr>
      <w:tblGrid>
        <w:gridCol w:w="9014"/>
        <w:gridCol w:w="506"/>
      </w:tblGrid>
      <w:tr w:rsidR="00793C01" w:rsidRPr="00693F8E" w:rsidTr="006D0AF9">
        <w:trPr>
          <w:trHeight w:val="286"/>
        </w:trPr>
        <w:tc>
          <w:tcPr>
            <w:tcW w:w="0" w:type="auto"/>
            <w:vAlign w:val="center"/>
          </w:tcPr>
          <w:p w:rsidR="00793C01" w:rsidRPr="00E74B6B" w:rsidRDefault="00793C01" w:rsidP="009272B3">
            <w:pPr>
              <w:autoSpaceDE w:val="0"/>
              <w:autoSpaceDN w:val="0"/>
              <w:adjustRightInd w:val="0"/>
              <w:rPr>
                <w:rFonts w:ascii="Tahoma" w:hAnsi="Tahoma" w:cs="Tahoma"/>
                <w:sz w:val="14"/>
                <w:szCs w:val="14"/>
              </w:rPr>
            </w:pPr>
            <w:r w:rsidRPr="00E74B6B">
              <w:rPr>
                <w:rFonts w:ascii="Tahoma" w:hAnsi="Tahoma" w:cs="Tahoma"/>
                <w:sz w:val="14"/>
                <w:szCs w:val="14"/>
              </w:rPr>
              <w:t xml:space="preserve">Percentuale minima di appuntamenti fissati con il cliente finale entro il tempo massimo di 1 giorno lavorativo di cui </w:t>
            </w:r>
            <w:r w:rsidRPr="009272B3">
              <w:rPr>
                <w:rFonts w:ascii="Tahoma" w:hAnsi="Tahoma" w:cs="Tahoma"/>
                <w:sz w:val="14"/>
                <w:szCs w:val="14"/>
              </w:rPr>
              <w:t xml:space="preserve">all’art. </w:t>
            </w:r>
            <w:r w:rsidR="00E74B6B" w:rsidRPr="009272B3">
              <w:rPr>
                <w:rFonts w:ascii="Tahoma" w:hAnsi="Tahoma" w:cs="Tahoma"/>
                <w:sz w:val="14"/>
                <w:szCs w:val="14"/>
              </w:rPr>
              <w:t xml:space="preserve">52 della RQDG (Allegato A alla delibera 574/2013/R/gas “Regolazione della qualità dei servizi di distribuzione e misura del gas per il periodo di regolazione 2014-2019 - Parte I del Testo Unico della regolazione della qualità e delle tariffe dei servizi di distribuzione e misura del gas per il periodo di regolazione 2014-2019” e </w:t>
            </w:r>
            <w:proofErr w:type="spellStart"/>
            <w:r w:rsidR="00E74B6B" w:rsidRPr="009272B3">
              <w:rPr>
                <w:rFonts w:ascii="Tahoma" w:hAnsi="Tahoma" w:cs="Tahoma"/>
                <w:sz w:val="14"/>
                <w:szCs w:val="14"/>
              </w:rPr>
              <w:t>s.m.i.</w:t>
            </w:r>
            <w:proofErr w:type="spellEnd"/>
            <w:r w:rsidR="00E74B6B" w:rsidRPr="009272B3">
              <w:rPr>
                <w:rFonts w:ascii="Tahoma" w:hAnsi="Tahoma" w:cs="Tahoma"/>
                <w:sz w:val="14"/>
                <w:szCs w:val="14"/>
              </w:rPr>
              <w:t>)</w:t>
            </w:r>
          </w:p>
        </w:tc>
        <w:tc>
          <w:tcPr>
            <w:tcW w:w="0" w:type="auto"/>
            <w:vAlign w:val="center"/>
          </w:tcPr>
          <w:p w:rsidR="00793C01" w:rsidRPr="00693F8E" w:rsidRDefault="00793C01" w:rsidP="00793C01">
            <w:pPr>
              <w:autoSpaceDE w:val="0"/>
              <w:autoSpaceDN w:val="0"/>
              <w:adjustRightInd w:val="0"/>
              <w:jc w:val="center"/>
              <w:rPr>
                <w:rFonts w:ascii="Tahoma" w:hAnsi="Tahoma" w:cs="Tahoma"/>
                <w:sz w:val="14"/>
                <w:szCs w:val="14"/>
              </w:rPr>
            </w:pPr>
            <w:r w:rsidRPr="00E74B6B">
              <w:rPr>
                <w:rFonts w:ascii="Tahoma" w:hAnsi="Tahoma" w:cs="Tahoma"/>
                <w:sz w:val="14"/>
                <w:szCs w:val="14"/>
              </w:rPr>
              <w:t>90%</w:t>
            </w:r>
          </w:p>
        </w:tc>
      </w:tr>
    </w:tbl>
    <w:p w:rsidR="00351502" w:rsidRPr="00C2403C" w:rsidRDefault="00351502" w:rsidP="005D6A49">
      <w:pPr>
        <w:autoSpaceDE w:val="0"/>
        <w:autoSpaceDN w:val="0"/>
        <w:adjustRightInd w:val="0"/>
        <w:rPr>
          <w:rFonts w:ascii="Tahoma" w:hAnsi="Tahoma" w:cs="Tahoma"/>
          <w:sz w:val="14"/>
          <w:szCs w:val="14"/>
        </w:rPr>
      </w:pPr>
    </w:p>
    <w:p w:rsidR="005D6A49" w:rsidRPr="00C2403C" w:rsidRDefault="005D6A49" w:rsidP="005D6A49">
      <w:pPr>
        <w:autoSpaceDE w:val="0"/>
        <w:autoSpaceDN w:val="0"/>
        <w:adjustRightInd w:val="0"/>
        <w:jc w:val="both"/>
        <w:rPr>
          <w:rFonts w:ascii="Tahoma" w:hAnsi="Tahoma" w:cs="Tahoma"/>
          <w:b/>
          <w:bCs/>
          <w:sz w:val="16"/>
          <w:szCs w:val="16"/>
        </w:rPr>
      </w:pPr>
      <w:r w:rsidRPr="00C2403C">
        <w:rPr>
          <w:rFonts w:ascii="Tahoma" w:hAnsi="Tahoma" w:cs="Tahoma"/>
          <w:b/>
          <w:bCs/>
          <w:sz w:val="16"/>
          <w:szCs w:val="16"/>
        </w:rPr>
        <w:t xml:space="preserve">Altri casi di indennizzo per la fornitura di gas naturale previsti dalla Delibera </w:t>
      </w:r>
      <w:r w:rsidR="00CC3B21" w:rsidRPr="00C2403C">
        <w:rPr>
          <w:rFonts w:ascii="Tahoma" w:hAnsi="Tahoma" w:cs="Tahoma"/>
          <w:b/>
          <w:bCs/>
          <w:sz w:val="16"/>
          <w:szCs w:val="16"/>
        </w:rPr>
        <w:t>ARERA</w:t>
      </w:r>
      <w:r w:rsidRPr="00C2403C">
        <w:rPr>
          <w:rFonts w:ascii="Tahoma" w:hAnsi="Tahoma" w:cs="Tahoma"/>
          <w:b/>
          <w:bCs/>
          <w:sz w:val="16"/>
          <w:szCs w:val="16"/>
        </w:rPr>
        <w:t xml:space="preserve"> </w:t>
      </w:r>
      <w:r w:rsidR="009272B3" w:rsidRPr="00C2403C">
        <w:rPr>
          <w:rFonts w:ascii="Tahoma" w:hAnsi="Tahoma" w:cs="Tahoma"/>
          <w:b/>
          <w:bCs/>
          <w:sz w:val="16"/>
          <w:szCs w:val="16"/>
        </w:rPr>
        <w:t>104/10</w:t>
      </w:r>
      <w:r w:rsidR="003875A1" w:rsidRPr="00C2403C">
        <w:rPr>
          <w:rFonts w:ascii="Tahoma" w:hAnsi="Tahoma" w:cs="Tahoma"/>
          <w:b/>
          <w:bCs/>
          <w:sz w:val="16"/>
          <w:szCs w:val="16"/>
        </w:rPr>
        <w:t>:</w:t>
      </w:r>
    </w:p>
    <w:p w:rsidR="00555B9A" w:rsidRPr="009272B3" w:rsidRDefault="003875A1" w:rsidP="00555B9A">
      <w:pPr>
        <w:autoSpaceDE w:val="0"/>
        <w:autoSpaceDN w:val="0"/>
        <w:adjustRightInd w:val="0"/>
        <w:jc w:val="both"/>
        <w:rPr>
          <w:rFonts w:ascii="Tahoma" w:hAnsi="Tahoma" w:cs="Tahoma"/>
          <w:sz w:val="16"/>
          <w:szCs w:val="16"/>
        </w:rPr>
      </w:pPr>
      <w:proofErr w:type="gramStart"/>
      <w:r w:rsidRPr="009272B3">
        <w:rPr>
          <w:rFonts w:ascii="Tahoma" w:hAnsi="Tahoma" w:cs="Tahoma"/>
          <w:sz w:val="16"/>
          <w:szCs w:val="16"/>
        </w:rPr>
        <w:t>E’</w:t>
      </w:r>
      <w:proofErr w:type="gramEnd"/>
      <w:r w:rsidRPr="009272B3">
        <w:rPr>
          <w:rFonts w:ascii="Tahoma" w:hAnsi="Tahoma" w:cs="Tahoma"/>
          <w:sz w:val="16"/>
          <w:szCs w:val="16"/>
        </w:rPr>
        <w:t xml:space="preserve"> </w:t>
      </w:r>
      <w:r w:rsidR="00555B9A" w:rsidRPr="009272B3">
        <w:rPr>
          <w:rFonts w:ascii="Tahoma" w:hAnsi="Tahoma" w:cs="Tahoma"/>
          <w:sz w:val="16"/>
          <w:szCs w:val="16"/>
        </w:rPr>
        <w:t xml:space="preserve">previsto un indennizzo automatico pari a 20 (venti) euro nel caso di mancato rispetto di quanto previsto nelle condizioni </w:t>
      </w:r>
      <w:r w:rsidRPr="009272B3">
        <w:rPr>
          <w:rFonts w:ascii="Tahoma" w:hAnsi="Tahoma" w:cs="Tahoma"/>
          <w:sz w:val="16"/>
          <w:szCs w:val="16"/>
        </w:rPr>
        <w:t xml:space="preserve">contrattuali </w:t>
      </w:r>
      <w:r w:rsidR="00555B9A" w:rsidRPr="009272B3">
        <w:rPr>
          <w:rFonts w:ascii="Tahoma" w:hAnsi="Tahoma" w:cs="Tahoma"/>
          <w:sz w:val="16"/>
          <w:szCs w:val="16"/>
        </w:rPr>
        <w:t>in tema di</w:t>
      </w:r>
      <w:r w:rsidRPr="009272B3">
        <w:rPr>
          <w:rFonts w:ascii="Tahoma" w:hAnsi="Tahoma" w:cs="Tahoma"/>
          <w:sz w:val="16"/>
          <w:szCs w:val="16"/>
        </w:rPr>
        <w:t>:</w:t>
      </w:r>
    </w:p>
    <w:p w:rsidR="003875A1" w:rsidRPr="009272B3" w:rsidRDefault="003875A1" w:rsidP="003875A1">
      <w:pPr>
        <w:pStyle w:val="Default"/>
        <w:rPr>
          <w:rFonts w:ascii="Tahoma" w:eastAsia="Times New Roman" w:hAnsi="Tahoma" w:cs="Tahoma"/>
          <w:color w:val="auto"/>
          <w:sz w:val="16"/>
          <w:szCs w:val="16"/>
          <w:lang w:eastAsia="it-IT"/>
        </w:rPr>
      </w:pPr>
      <w:r w:rsidRPr="009272B3">
        <w:rPr>
          <w:rFonts w:ascii="Tahoma" w:eastAsia="Times New Roman" w:hAnsi="Tahoma" w:cs="Tahoma"/>
          <w:color w:val="auto"/>
          <w:sz w:val="16"/>
          <w:szCs w:val="16"/>
          <w:lang w:eastAsia="it-IT"/>
        </w:rPr>
        <w:t xml:space="preserve">i. periodicità di emissione delle fatture; </w:t>
      </w:r>
    </w:p>
    <w:p w:rsidR="003875A1" w:rsidRPr="009272B3" w:rsidRDefault="003875A1" w:rsidP="003875A1">
      <w:pPr>
        <w:pStyle w:val="Default"/>
        <w:rPr>
          <w:rFonts w:ascii="Tahoma" w:eastAsia="Times New Roman" w:hAnsi="Tahoma" w:cs="Tahoma"/>
          <w:color w:val="auto"/>
          <w:sz w:val="16"/>
          <w:szCs w:val="16"/>
          <w:lang w:eastAsia="it-IT"/>
        </w:rPr>
      </w:pPr>
      <w:r w:rsidRPr="009272B3">
        <w:rPr>
          <w:rFonts w:ascii="Tahoma" w:eastAsia="Times New Roman" w:hAnsi="Tahoma" w:cs="Tahoma"/>
          <w:color w:val="auto"/>
          <w:sz w:val="16"/>
          <w:szCs w:val="16"/>
          <w:lang w:eastAsia="it-IT"/>
        </w:rPr>
        <w:t xml:space="preserve">ii. criterio adottato per la stima dei consumi, qualora sia prevista l’emissione di fatture basate sulla stima dei consumi; </w:t>
      </w:r>
    </w:p>
    <w:p w:rsidR="003875A1" w:rsidRPr="009272B3" w:rsidRDefault="003875A1" w:rsidP="003875A1">
      <w:pPr>
        <w:pStyle w:val="Default"/>
        <w:rPr>
          <w:rFonts w:ascii="Tahoma" w:eastAsia="Times New Roman" w:hAnsi="Tahoma" w:cs="Tahoma"/>
          <w:color w:val="auto"/>
          <w:sz w:val="16"/>
          <w:szCs w:val="16"/>
          <w:lang w:eastAsia="it-IT"/>
        </w:rPr>
      </w:pPr>
      <w:r w:rsidRPr="009272B3">
        <w:rPr>
          <w:rFonts w:ascii="Tahoma" w:eastAsia="Times New Roman" w:hAnsi="Tahoma" w:cs="Tahoma"/>
          <w:color w:val="auto"/>
          <w:sz w:val="16"/>
          <w:szCs w:val="16"/>
          <w:lang w:eastAsia="it-IT"/>
        </w:rPr>
        <w:t xml:space="preserve">iii. modalità e termini per il pagamento delle fatture. </w:t>
      </w:r>
    </w:p>
    <w:p w:rsidR="003875A1" w:rsidRPr="009272B3" w:rsidRDefault="003875A1" w:rsidP="00555B9A">
      <w:pPr>
        <w:autoSpaceDE w:val="0"/>
        <w:autoSpaceDN w:val="0"/>
        <w:adjustRightInd w:val="0"/>
        <w:jc w:val="both"/>
        <w:rPr>
          <w:rFonts w:ascii="Tahoma" w:hAnsi="Tahoma" w:cs="Tahoma"/>
          <w:sz w:val="16"/>
          <w:szCs w:val="16"/>
        </w:rPr>
      </w:pPr>
    </w:p>
    <w:p w:rsidR="001E6109" w:rsidRPr="009272B3" w:rsidRDefault="003875A1" w:rsidP="001E6109">
      <w:pPr>
        <w:autoSpaceDE w:val="0"/>
        <w:autoSpaceDN w:val="0"/>
        <w:adjustRightInd w:val="0"/>
        <w:jc w:val="both"/>
        <w:rPr>
          <w:rFonts w:ascii="Tahoma" w:hAnsi="Tahoma" w:cs="Tahoma"/>
          <w:sz w:val="16"/>
          <w:szCs w:val="16"/>
        </w:rPr>
      </w:pPr>
      <w:r w:rsidRPr="009272B3">
        <w:rPr>
          <w:rFonts w:ascii="Tahoma" w:hAnsi="Tahoma" w:cs="Tahoma"/>
          <w:sz w:val="16"/>
          <w:szCs w:val="16"/>
        </w:rPr>
        <w:t xml:space="preserve">In caso di variazione unilaterale di clausole contrattuali da parte del Fornitore, è </w:t>
      </w:r>
      <w:r w:rsidR="001E6109" w:rsidRPr="009272B3">
        <w:rPr>
          <w:rFonts w:ascii="Tahoma" w:hAnsi="Tahoma" w:cs="Tahoma"/>
          <w:sz w:val="16"/>
          <w:szCs w:val="16"/>
        </w:rPr>
        <w:t xml:space="preserve">previsto un indennizzo di 30 (trenta) euro nel caso di mancata comunicazione, in forma scritta, </w:t>
      </w:r>
      <w:r w:rsidRPr="009272B3">
        <w:rPr>
          <w:rFonts w:ascii="Tahoma" w:hAnsi="Tahoma" w:cs="Tahoma"/>
          <w:sz w:val="16"/>
          <w:szCs w:val="16"/>
        </w:rPr>
        <w:t xml:space="preserve">di tale variazione </w:t>
      </w:r>
      <w:r w:rsidR="001E6109" w:rsidRPr="009272B3">
        <w:rPr>
          <w:rFonts w:ascii="Tahoma" w:hAnsi="Tahoma" w:cs="Tahoma"/>
          <w:sz w:val="16"/>
          <w:szCs w:val="16"/>
        </w:rPr>
        <w:t>entro 3 mesi dalla decorrenza dell</w:t>
      </w:r>
      <w:r w:rsidR="004F749A">
        <w:rPr>
          <w:rFonts w:ascii="Tahoma" w:hAnsi="Tahoma" w:cs="Tahoma"/>
          <w:sz w:val="16"/>
          <w:szCs w:val="16"/>
        </w:rPr>
        <w:t>e</w:t>
      </w:r>
      <w:r w:rsidR="001E6109" w:rsidRPr="009272B3">
        <w:rPr>
          <w:rFonts w:ascii="Tahoma" w:hAnsi="Tahoma" w:cs="Tahoma"/>
          <w:sz w:val="16"/>
          <w:szCs w:val="16"/>
        </w:rPr>
        <w:t xml:space="preserve"> variazioni stesse.</w:t>
      </w:r>
    </w:p>
    <w:p w:rsidR="001E6109" w:rsidRPr="009272B3" w:rsidRDefault="003875A1" w:rsidP="001E6109">
      <w:pPr>
        <w:autoSpaceDE w:val="0"/>
        <w:autoSpaceDN w:val="0"/>
        <w:adjustRightInd w:val="0"/>
        <w:jc w:val="both"/>
        <w:rPr>
          <w:rFonts w:ascii="Tahoma" w:hAnsi="Tahoma" w:cs="Tahoma"/>
          <w:sz w:val="16"/>
          <w:szCs w:val="16"/>
        </w:rPr>
      </w:pPr>
      <w:r w:rsidRPr="009272B3">
        <w:rPr>
          <w:rFonts w:ascii="Tahoma" w:hAnsi="Tahoma" w:cs="Tahoma"/>
          <w:sz w:val="16"/>
          <w:szCs w:val="16"/>
        </w:rPr>
        <w:t xml:space="preserve">In caso di variazione unilaterale di clausole contrattuali da parte del Fornitore, è </w:t>
      </w:r>
      <w:r w:rsidR="001E6109" w:rsidRPr="009272B3">
        <w:rPr>
          <w:rFonts w:ascii="Tahoma" w:hAnsi="Tahoma" w:cs="Tahoma"/>
          <w:sz w:val="16"/>
          <w:szCs w:val="16"/>
        </w:rPr>
        <w:t>previsto un indennizzo di 30 (trenta) euro nel caso di comunicazione, in forma scritta, non riportata separatamente dal documento di fatturazione (salvo il caso di variazione che si configuri come una riduzione dei corrispettivi originariamente previsti da contratto).</w:t>
      </w:r>
    </w:p>
    <w:p w:rsidR="001E6109" w:rsidRDefault="001E6109" w:rsidP="001E6109">
      <w:pPr>
        <w:autoSpaceDE w:val="0"/>
        <w:autoSpaceDN w:val="0"/>
        <w:adjustRightInd w:val="0"/>
        <w:jc w:val="both"/>
        <w:rPr>
          <w:rFonts w:ascii="Tahoma" w:hAnsi="Tahoma" w:cs="Tahoma"/>
          <w:b/>
          <w:bCs/>
          <w:sz w:val="16"/>
          <w:szCs w:val="16"/>
        </w:rPr>
      </w:pPr>
    </w:p>
    <w:p w:rsidR="005D170A" w:rsidRPr="00051DB5" w:rsidRDefault="005D170A" w:rsidP="005D170A">
      <w:pPr>
        <w:autoSpaceDE w:val="0"/>
        <w:autoSpaceDN w:val="0"/>
        <w:adjustRightInd w:val="0"/>
        <w:jc w:val="both"/>
        <w:rPr>
          <w:rFonts w:ascii="Tahoma" w:hAnsi="Tahoma" w:cs="Tahoma"/>
          <w:b/>
          <w:bCs/>
          <w:sz w:val="16"/>
          <w:szCs w:val="16"/>
        </w:rPr>
      </w:pPr>
      <w:r w:rsidRPr="009272B3">
        <w:rPr>
          <w:rFonts w:ascii="Tahoma" w:hAnsi="Tahoma" w:cs="Tahoma"/>
          <w:b/>
          <w:bCs/>
          <w:sz w:val="16"/>
          <w:szCs w:val="16"/>
        </w:rPr>
        <w:lastRenderedPageBreak/>
        <w:t xml:space="preserve">Altri casi di </w:t>
      </w:r>
      <w:r w:rsidRPr="00051DB5">
        <w:rPr>
          <w:rFonts w:ascii="Tahoma" w:hAnsi="Tahoma" w:cs="Tahoma"/>
          <w:b/>
          <w:bCs/>
          <w:sz w:val="16"/>
          <w:szCs w:val="16"/>
        </w:rPr>
        <w:t xml:space="preserve">indennizzo per la fornitura di </w:t>
      </w:r>
      <w:r w:rsidR="007E287D" w:rsidRPr="00051DB5">
        <w:rPr>
          <w:rFonts w:ascii="Tahoma" w:hAnsi="Tahoma" w:cs="Tahoma"/>
          <w:b/>
          <w:bCs/>
          <w:sz w:val="16"/>
          <w:szCs w:val="16"/>
        </w:rPr>
        <w:t>gas naturale</w:t>
      </w:r>
      <w:r w:rsidRPr="00051DB5">
        <w:rPr>
          <w:rFonts w:ascii="Tahoma" w:hAnsi="Tahoma" w:cs="Tahoma"/>
          <w:b/>
          <w:bCs/>
          <w:sz w:val="16"/>
          <w:szCs w:val="16"/>
        </w:rPr>
        <w:t xml:space="preserve"> previsti dal Testo Integrato di Fatturazione TIF (Allegato A alla Delibera </w:t>
      </w:r>
      <w:r w:rsidR="00CC3B21" w:rsidRPr="00051DB5">
        <w:rPr>
          <w:rFonts w:ascii="Tahoma" w:hAnsi="Tahoma" w:cs="Tahoma"/>
          <w:b/>
          <w:bCs/>
          <w:sz w:val="16"/>
          <w:szCs w:val="16"/>
        </w:rPr>
        <w:t>ARERA</w:t>
      </w:r>
      <w:r w:rsidRPr="00051DB5">
        <w:rPr>
          <w:rFonts w:ascii="Tahoma" w:hAnsi="Tahoma" w:cs="Tahoma"/>
          <w:b/>
          <w:bCs/>
          <w:sz w:val="16"/>
          <w:szCs w:val="16"/>
        </w:rPr>
        <w:t xml:space="preserve"> 463/2016/R/</w:t>
      </w:r>
      <w:proofErr w:type="spellStart"/>
      <w:r w:rsidRPr="00051DB5">
        <w:rPr>
          <w:rFonts w:ascii="Tahoma" w:hAnsi="Tahoma" w:cs="Tahoma"/>
          <w:b/>
          <w:bCs/>
          <w:sz w:val="16"/>
          <w:szCs w:val="16"/>
        </w:rPr>
        <w:t>com</w:t>
      </w:r>
      <w:proofErr w:type="spellEnd"/>
      <w:r w:rsidRPr="00051DB5">
        <w:rPr>
          <w:rFonts w:ascii="Tahoma" w:hAnsi="Tahoma" w:cs="Tahoma"/>
          <w:b/>
          <w:bCs/>
          <w:sz w:val="16"/>
          <w:szCs w:val="16"/>
        </w:rPr>
        <w:t xml:space="preserve"> “Disposizioni relative alla fatturazione di periodo, indennizzi a carico dei venditori e delle imprese di distribuzione e ulteriori obblighi in capo alle suddette imprese, in tema di misura” e </w:t>
      </w:r>
      <w:proofErr w:type="spellStart"/>
      <w:r w:rsidRPr="00051DB5">
        <w:rPr>
          <w:rFonts w:ascii="Tahoma" w:hAnsi="Tahoma" w:cs="Tahoma"/>
          <w:b/>
          <w:bCs/>
          <w:sz w:val="16"/>
          <w:szCs w:val="16"/>
        </w:rPr>
        <w:t>s.m.i.</w:t>
      </w:r>
      <w:proofErr w:type="spellEnd"/>
      <w:r w:rsidRPr="00051DB5">
        <w:rPr>
          <w:rFonts w:ascii="Tahoma" w:hAnsi="Tahoma" w:cs="Tahoma"/>
          <w:b/>
          <w:bCs/>
          <w:sz w:val="16"/>
          <w:szCs w:val="16"/>
        </w:rPr>
        <w:t>):</w:t>
      </w:r>
    </w:p>
    <w:p w:rsidR="005D170A" w:rsidRPr="009272B3" w:rsidRDefault="005D170A" w:rsidP="005D170A">
      <w:pPr>
        <w:autoSpaceDE w:val="0"/>
        <w:autoSpaceDN w:val="0"/>
        <w:adjustRightInd w:val="0"/>
        <w:jc w:val="both"/>
        <w:rPr>
          <w:rFonts w:ascii="Tahoma" w:hAnsi="Tahoma" w:cs="Tahoma"/>
          <w:sz w:val="16"/>
          <w:szCs w:val="16"/>
        </w:rPr>
      </w:pPr>
      <w:r w:rsidRPr="00051DB5">
        <w:rPr>
          <w:rFonts w:ascii="Tahoma" w:hAnsi="Tahoma" w:cs="Tahoma"/>
          <w:sz w:val="16"/>
          <w:szCs w:val="16"/>
        </w:rPr>
        <w:t xml:space="preserve">Il Cliente ha diritto alla corresponsione di un indennizzo automatico nel caso di emissione della fattura di periodo oltre il temine definito nelle condizioni contrattuali. In valore di tale indennizzo, corrisposto in occasione della prima fattura utile, è pari a: a) 6 € nel caso in cui la fattura di periodo sia emessa con un ritardo fino a 10 (dieci) giorni solari successivi al termine di </w:t>
      </w:r>
      <w:r w:rsidRPr="009272B3">
        <w:rPr>
          <w:rFonts w:ascii="Tahoma" w:hAnsi="Tahoma" w:cs="Tahoma"/>
          <w:sz w:val="16"/>
          <w:szCs w:val="16"/>
        </w:rPr>
        <w:t>cui sopra; b) l’importo di cui alla precedente lettera a) maggiorato di 2 € ogni 5 (cinque) giorni solari ulteriori di ritardo, fino ad un massimo di 20 €, raggiunto per ritardi fino a 45 (quarantacinque) giorni solari dal termine di cui sopra. Tale indennizzo massimo è, altresì modificato in ragione di un ritardo ulteriore come indicato di seguito: a) è pari a 40 € se l’emissione della fattura avviene in un tempo compreso tra 46 (quarantasei) e 90 (novanta) giorni solari dal termine di cui all’art 9 delle Condizioni generali di Fornitura; b) è pari a 60 € se l’emissione della fattura avviene in un tempo superiore a 90 (novanta) giorni solari dallo stesso termine di cui sopra.</w:t>
      </w:r>
    </w:p>
    <w:p w:rsidR="005D170A" w:rsidRPr="009272B3" w:rsidRDefault="005D170A" w:rsidP="005D170A">
      <w:pPr>
        <w:autoSpaceDE w:val="0"/>
        <w:autoSpaceDN w:val="0"/>
        <w:adjustRightInd w:val="0"/>
        <w:jc w:val="both"/>
        <w:rPr>
          <w:rFonts w:ascii="Tahoma" w:hAnsi="Tahoma" w:cs="Tahoma"/>
          <w:sz w:val="16"/>
          <w:szCs w:val="16"/>
        </w:rPr>
      </w:pPr>
      <w:r w:rsidRPr="009272B3">
        <w:rPr>
          <w:rFonts w:ascii="Tahoma" w:hAnsi="Tahoma" w:cs="Tahoma"/>
          <w:sz w:val="16"/>
          <w:szCs w:val="16"/>
        </w:rPr>
        <w:t>Nel caso di emissione della fattura di chiusura oltre i termini previsti dal TIF, pari a 6 settimane dal giorno della cessazione della fornitura, il venditore riconosce, nella medesima fattura di chiusura, un indennizzo automatico al cliente finale pari a: a) 4 € nel caso in cui la fattura di chiusura sia emessa con un ritardo fino a 10 (dieci) giorni solari successivi al termine entro cui il venditore è tenuto ad emettere la fattura; b) l’importo di cui alla precedente lettera a) maggiorato di 2 € ogni 10 (dieci) giorni solari ulteriori di ritardo, fino ad un massimo di 22 € per ritardi pari o superiori a 90 (novanta) giorni solari.</w:t>
      </w:r>
    </w:p>
    <w:p w:rsidR="005D170A" w:rsidRPr="009272B3" w:rsidRDefault="005D79AA" w:rsidP="005D170A">
      <w:pPr>
        <w:autoSpaceDE w:val="0"/>
        <w:autoSpaceDN w:val="0"/>
        <w:adjustRightInd w:val="0"/>
        <w:jc w:val="both"/>
        <w:rPr>
          <w:rFonts w:ascii="Tahoma" w:hAnsi="Tahoma" w:cs="Tahoma"/>
          <w:sz w:val="16"/>
          <w:szCs w:val="16"/>
        </w:rPr>
      </w:pPr>
      <w:r w:rsidRPr="009272B3">
        <w:rPr>
          <w:rFonts w:ascii="Tahoma" w:hAnsi="Tahoma" w:cs="Tahoma"/>
          <w:sz w:val="16"/>
          <w:szCs w:val="16"/>
        </w:rPr>
        <w:t>In tutti i casi in cui l’impresa di distribuzione di gas naturale metta a disposizione al Fornitore i dati di misura funzionali alla cessazione della fornitura, ad esclusione del cambio venditore diverso da sostituzione nella fornitura ai punti di riconsegna attivi e da switching, decorso un tempo superiore a 30 (trenta) giorni dalla cessazione della fornitura, la medesima impresa di distribuzione è tenuta a riconoscere al Cliente finale un indennizzo automatico pari a 35 €</w:t>
      </w:r>
      <w:r w:rsidR="005D170A" w:rsidRPr="009272B3">
        <w:rPr>
          <w:rFonts w:ascii="Tahoma" w:hAnsi="Tahoma" w:cs="Tahoma"/>
          <w:sz w:val="16"/>
          <w:szCs w:val="16"/>
        </w:rPr>
        <w:t xml:space="preserve">. </w:t>
      </w:r>
    </w:p>
    <w:p w:rsidR="005D170A" w:rsidRPr="00C2403C" w:rsidRDefault="005D170A" w:rsidP="005D170A">
      <w:pPr>
        <w:autoSpaceDE w:val="0"/>
        <w:autoSpaceDN w:val="0"/>
        <w:adjustRightInd w:val="0"/>
        <w:jc w:val="both"/>
        <w:rPr>
          <w:rFonts w:ascii="Tahoma" w:hAnsi="Tahoma" w:cs="Tahoma"/>
          <w:b/>
          <w:bCs/>
          <w:sz w:val="16"/>
          <w:szCs w:val="16"/>
        </w:rPr>
      </w:pPr>
    </w:p>
    <w:p w:rsidR="002F5BFA" w:rsidRPr="009272B3" w:rsidRDefault="002F5BFA" w:rsidP="002F5BFA">
      <w:pPr>
        <w:autoSpaceDE w:val="0"/>
        <w:autoSpaceDN w:val="0"/>
        <w:adjustRightInd w:val="0"/>
        <w:jc w:val="both"/>
        <w:rPr>
          <w:rFonts w:ascii="Tahoma" w:hAnsi="Tahoma" w:cs="Tahoma"/>
          <w:b/>
          <w:bCs/>
          <w:sz w:val="16"/>
          <w:szCs w:val="16"/>
        </w:rPr>
      </w:pPr>
      <w:r w:rsidRPr="00C2403C">
        <w:rPr>
          <w:rFonts w:ascii="Tahoma" w:hAnsi="Tahoma" w:cs="Tahoma"/>
          <w:b/>
          <w:bCs/>
          <w:sz w:val="16"/>
          <w:szCs w:val="16"/>
        </w:rPr>
        <w:t xml:space="preserve">Ulteriori livelli generali di qualità previsti dal Testo Integrato di Fatturazione TIF (Allegato A alla Delibera </w:t>
      </w:r>
      <w:r w:rsidR="00CC3B21" w:rsidRPr="00C2403C">
        <w:rPr>
          <w:rFonts w:ascii="Tahoma" w:hAnsi="Tahoma" w:cs="Tahoma"/>
          <w:b/>
          <w:bCs/>
          <w:sz w:val="16"/>
          <w:szCs w:val="16"/>
        </w:rPr>
        <w:t>ARERA</w:t>
      </w:r>
      <w:r w:rsidRPr="00C2403C">
        <w:rPr>
          <w:rFonts w:ascii="Tahoma" w:hAnsi="Tahoma" w:cs="Tahoma"/>
          <w:b/>
          <w:bCs/>
          <w:sz w:val="16"/>
          <w:szCs w:val="16"/>
        </w:rPr>
        <w:t xml:space="preserve"> 463/</w:t>
      </w:r>
      <w:r w:rsidRPr="009272B3">
        <w:rPr>
          <w:rFonts w:ascii="Tahoma" w:hAnsi="Tahoma" w:cs="Tahoma"/>
          <w:b/>
          <w:bCs/>
          <w:sz w:val="16"/>
          <w:szCs w:val="16"/>
        </w:rPr>
        <w:t>2016/R/</w:t>
      </w:r>
      <w:proofErr w:type="spellStart"/>
      <w:r w:rsidRPr="009272B3">
        <w:rPr>
          <w:rFonts w:ascii="Tahoma" w:hAnsi="Tahoma" w:cs="Tahoma"/>
          <w:b/>
          <w:bCs/>
          <w:sz w:val="16"/>
          <w:szCs w:val="16"/>
        </w:rPr>
        <w:t>com</w:t>
      </w:r>
      <w:proofErr w:type="spellEnd"/>
      <w:r w:rsidRPr="009272B3">
        <w:rPr>
          <w:rFonts w:ascii="Tahoma" w:hAnsi="Tahoma" w:cs="Tahoma"/>
          <w:b/>
          <w:bCs/>
          <w:sz w:val="16"/>
          <w:szCs w:val="16"/>
        </w:rPr>
        <w:t xml:space="preserve"> “Disposizioni relative alla fatturazione di periodo, indennizzi a carico dei venditori e delle imprese di distribuzione e ulteriori obblighi in capo alle suddette imprese, in tema di misura” e </w:t>
      </w:r>
      <w:proofErr w:type="spellStart"/>
      <w:r w:rsidRPr="009272B3">
        <w:rPr>
          <w:rFonts w:ascii="Tahoma" w:hAnsi="Tahoma" w:cs="Tahoma"/>
          <w:b/>
          <w:bCs/>
          <w:sz w:val="16"/>
          <w:szCs w:val="16"/>
        </w:rPr>
        <w:t>s.m.i.</w:t>
      </w:r>
      <w:proofErr w:type="spellEnd"/>
      <w:r w:rsidRPr="009272B3">
        <w:rPr>
          <w:rFonts w:ascii="Tahoma" w:hAnsi="Tahoma" w:cs="Tahoma"/>
          <w:b/>
          <w:bCs/>
          <w:sz w:val="16"/>
          <w:szCs w:val="16"/>
        </w:rPr>
        <w:t>):</w:t>
      </w:r>
    </w:p>
    <w:tbl>
      <w:tblPr>
        <w:tblStyle w:val="Grigliatabella"/>
        <w:tblW w:w="0" w:type="auto"/>
        <w:tblInd w:w="108" w:type="dxa"/>
        <w:tblLook w:val="01E0" w:firstRow="1" w:lastRow="1" w:firstColumn="1" w:lastColumn="1" w:noHBand="0" w:noVBand="0"/>
      </w:tblPr>
      <w:tblGrid>
        <w:gridCol w:w="8015"/>
        <w:gridCol w:w="1505"/>
      </w:tblGrid>
      <w:tr w:rsidR="009272B3" w:rsidRPr="009272B3" w:rsidTr="001902ED">
        <w:trPr>
          <w:trHeight w:val="286"/>
        </w:trPr>
        <w:tc>
          <w:tcPr>
            <w:tcW w:w="8222" w:type="dxa"/>
            <w:vAlign w:val="center"/>
          </w:tcPr>
          <w:p w:rsidR="002F5BFA" w:rsidRPr="009272B3" w:rsidRDefault="002F5BFA" w:rsidP="001902ED">
            <w:pPr>
              <w:autoSpaceDE w:val="0"/>
              <w:autoSpaceDN w:val="0"/>
              <w:adjustRightInd w:val="0"/>
              <w:jc w:val="center"/>
              <w:rPr>
                <w:rFonts w:ascii="Tahoma" w:hAnsi="Tahoma" w:cs="Tahoma"/>
                <w:b/>
                <w:sz w:val="14"/>
                <w:szCs w:val="14"/>
              </w:rPr>
            </w:pPr>
            <w:r w:rsidRPr="009272B3">
              <w:rPr>
                <w:rFonts w:ascii="Tahoma" w:hAnsi="Tahoma" w:cs="Tahoma"/>
                <w:b/>
                <w:sz w:val="14"/>
                <w:szCs w:val="14"/>
              </w:rPr>
              <w:t>Indicatore</w:t>
            </w:r>
          </w:p>
        </w:tc>
        <w:tc>
          <w:tcPr>
            <w:tcW w:w="1524" w:type="dxa"/>
            <w:vAlign w:val="center"/>
          </w:tcPr>
          <w:p w:rsidR="002F5BFA" w:rsidRPr="009272B3" w:rsidRDefault="002F5BFA" w:rsidP="001902ED">
            <w:pPr>
              <w:autoSpaceDE w:val="0"/>
              <w:autoSpaceDN w:val="0"/>
              <w:adjustRightInd w:val="0"/>
              <w:jc w:val="center"/>
              <w:rPr>
                <w:rFonts w:ascii="Tahoma" w:hAnsi="Tahoma" w:cs="Tahoma"/>
                <w:b/>
                <w:sz w:val="14"/>
                <w:szCs w:val="14"/>
              </w:rPr>
            </w:pPr>
            <w:r w:rsidRPr="009272B3">
              <w:rPr>
                <w:rFonts w:ascii="Tahoma" w:hAnsi="Tahoma" w:cs="Tahoma"/>
                <w:b/>
                <w:sz w:val="14"/>
                <w:szCs w:val="14"/>
              </w:rPr>
              <w:t>Standard generale</w:t>
            </w:r>
          </w:p>
        </w:tc>
      </w:tr>
      <w:tr w:rsidR="009272B3" w:rsidRPr="009272B3" w:rsidTr="001902ED">
        <w:trPr>
          <w:trHeight w:val="286"/>
        </w:trPr>
        <w:tc>
          <w:tcPr>
            <w:tcW w:w="8222" w:type="dxa"/>
            <w:vAlign w:val="center"/>
          </w:tcPr>
          <w:p w:rsidR="002F5BFA" w:rsidRPr="009272B3" w:rsidRDefault="002F5BFA" w:rsidP="001902ED">
            <w:pPr>
              <w:autoSpaceDE w:val="0"/>
              <w:autoSpaceDN w:val="0"/>
              <w:adjustRightInd w:val="0"/>
              <w:rPr>
                <w:rFonts w:ascii="Tahoma" w:hAnsi="Tahoma" w:cs="Tahoma"/>
                <w:sz w:val="14"/>
                <w:szCs w:val="14"/>
              </w:rPr>
            </w:pPr>
            <w:r w:rsidRPr="009272B3">
              <w:rPr>
                <w:rFonts w:ascii="Tahoma" w:hAnsi="Tahoma" w:cs="Tahoma"/>
                <w:sz w:val="14"/>
                <w:szCs w:val="14"/>
              </w:rPr>
              <w:t>Incidenza nelle fatture dei consumi stimati rispetto ai consumi effettivi</w:t>
            </w:r>
          </w:p>
        </w:tc>
        <w:tc>
          <w:tcPr>
            <w:tcW w:w="1524" w:type="dxa"/>
            <w:vAlign w:val="center"/>
          </w:tcPr>
          <w:p w:rsidR="002F5BFA" w:rsidRPr="009272B3" w:rsidRDefault="00E50952" w:rsidP="00E50952">
            <w:pPr>
              <w:autoSpaceDE w:val="0"/>
              <w:autoSpaceDN w:val="0"/>
              <w:adjustRightInd w:val="0"/>
              <w:jc w:val="center"/>
              <w:rPr>
                <w:rFonts w:ascii="Tahoma" w:hAnsi="Tahoma" w:cs="Tahoma"/>
                <w:sz w:val="14"/>
                <w:szCs w:val="14"/>
              </w:rPr>
            </w:pPr>
            <w:r w:rsidRPr="009272B3">
              <w:rPr>
                <w:rFonts w:ascii="Tahoma" w:hAnsi="Tahoma" w:cs="Tahoma"/>
                <w:sz w:val="14"/>
                <w:szCs w:val="14"/>
              </w:rPr>
              <w:t>&lt;=75</w:t>
            </w:r>
            <w:r w:rsidR="002F5BFA" w:rsidRPr="009272B3">
              <w:rPr>
                <w:rFonts w:ascii="Tahoma" w:hAnsi="Tahoma" w:cs="Tahoma"/>
                <w:sz w:val="14"/>
                <w:szCs w:val="14"/>
              </w:rPr>
              <w:t>%</w:t>
            </w:r>
          </w:p>
        </w:tc>
      </w:tr>
    </w:tbl>
    <w:p w:rsidR="002F5BFA" w:rsidRDefault="002F5BFA" w:rsidP="001E6109">
      <w:pPr>
        <w:autoSpaceDE w:val="0"/>
        <w:autoSpaceDN w:val="0"/>
        <w:adjustRightInd w:val="0"/>
        <w:jc w:val="both"/>
        <w:rPr>
          <w:rFonts w:ascii="Tahoma" w:hAnsi="Tahoma" w:cs="Tahoma"/>
          <w:b/>
          <w:bCs/>
          <w:sz w:val="16"/>
          <w:szCs w:val="16"/>
        </w:rPr>
      </w:pPr>
    </w:p>
    <w:p w:rsidR="002F5BFA" w:rsidRDefault="002F5BFA" w:rsidP="001E6109">
      <w:pPr>
        <w:autoSpaceDE w:val="0"/>
        <w:autoSpaceDN w:val="0"/>
        <w:adjustRightInd w:val="0"/>
        <w:jc w:val="both"/>
        <w:rPr>
          <w:rFonts w:ascii="Tahoma" w:hAnsi="Tahoma" w:cs="Tahoma"/>
          <w:b/>
          <w:bCs/>
          <w:sz w:val="16"/>
          <w:szCs w:val="16"/>
        </w:rPr>
      </w:pPr>
    </w:p>
    <w:p w:rsidR="001E6109" w:rsidRPr="00693F8E" w:rsidRDefault="001E6109" w:rsidP="001E6109">
      <w:pPr>
        <w:autoSpaceDE w:val="0"/>
        <w:autoSpaceDN w:val="0"/>
        <w:adjustRightInd w:val="0"/>
        <w:jc w:val="both"/>
        <w:rPr>
          <w:rFonts w:ascii="Tahoma" w:hAnsi="Tahoma" w:cs="Tahoma"/>
          <w:b/>
          <w:bCs/>
          <w:sz w:val="16"/>
          <w:szCs w:val="16"/>
        </w:rPr>
      </w:pPr>
      <w:r w:rsidRPr="00693F8E">
        <w:rPr>
          <w:rFonts w:ascii="Tahoma" w:hAnsi="Tahoma" w:cs="Tahoma"/>
          <w:b/>
          <w:bCs/>
          <w:sz w:val="16"/>
          <w:szCs w:val="16"/>
        </w:rPr>
        <w:t xml:space="preserve">Altri casi di indennizzo per la fornitura di gas naturale previsti dalla </w:t>
      </w:r>
      <w:r>
        <w:rPr>
          <w:rFonts w:ascii="Tahoma" w:hAnsi="Tahoma" w:cs="Tahoma"/>
          <w:b/>
          <w:bCs/>
          <w:sz w:val="16"/>
          <w:szCs w:val="16"/>
        </w:rPr>
        <w:t xml:space="preserve">TIMG (ARG/gas 99/11 e </w:t>
      </w:r>
      <w:proofErr w:type="spellStart"/>
      <w:r>
        <w:rPr>
          <w:rFonts w:ascii="Tahoma" w:hAnsi="Tahoma" w:cs="Tahoma"/>
          <w:b/>
          <w:bCs/>
          <w:sz w:val="16"/>
          <w:szCs w:val="16"/>
        </w:rPr>
        <w:t>succ</w:t>
      </w:r>
      <w:proofErr w:type="spellEnd"/>
      <w:r>
        <w:rPr>
          <w:rFonts w:ascii="Tahoma" w:hAnsi="Tahoma" w:cs="Tahoma"/>
          <w:b/>
          <w:bCs/>
          <w:sz w:val="16"/>
          <w:szCs w:val="16"/>
        </w:rPr>
        <w:t xml:space="preserve">. </w:t>
      </w:r>
      <w:proofErr w:type="spellStart"/>
      <w:r>
        <w:rPr>
          <w:rFonts w:ascii="Tahoma" w:hAnsi="Tahoma" w:cs="Tahoma"/>
          <w:b/>
          <w:bCs/>
          <w:sz w:val="16"/>
          <w:szCs w:val="16"/>
        </w:rPr>
        <w:t>mod</w:t>
      </w:r>
      <w:proofErr w:type="spellEnd"/>
      <w:r>
        <w:rPr>
          <w:rFonts w:ascii="Tahoma" w:hAnsi="Tahoma" w:cs="Tahoma"/>
          <w:b/>
          <w:bCs/>
          <w:sz w:val="16"/>
          <w:szCs w:val="16"/>
        </w:rPr>
        <w:t xml:space="preserve">. e </w:t>
      </w:r>
      <w:proofErr w:type="spellStart"/>
      <w:r>
        <w:rPr>
          <w:rFonts w:ascii="Tahoma" w:hAnsi="Tahoma" w:cs="Tahoma"/>
          <w:b/>
          <w:bCs/>
          <w:sz w:val="16"/>
          <w:szCs w:val="16"/>
        </w:rPr>
        <w:t>integr</w:t>
      </w:r>
      <w:proofErr w:type="spellEnd"/>
      <w:r>
        <w:rPr>
          <w:rFonts w:ascii="Tahoma" w:hAnsi="Tahoma" w:cs="Tahoma"/>
          <w:b/>
          <w:bCs/>
          <w:sz w:val="16"/>
          <w:szCs w:val="16"/>
        </w:rPr>
        <w:t>.)</w:t>
      </w:r>
      <w:r w:rsidRPr="00693F8E">
        <w:rPr>
          <w:rFonts w:ascii="Tahoma" w:hAnsi="Tahoma" w:cs="Tahoma"/>
          <w:b/>
          <w:bCs/>
          <w:sz w:val="16"/>
          <w:szCs w:val="16"/>
        </w:rPr>
        <w:t>:</w:t>
      </w:r>
    </w:p>
    <w:p w:rsidR="001E6109" w:rsidRPr="001E6109" w:rsidRDefault="001E6109" w:rsidP="001E6109">
      <w:pPr>
        <w:autoSpaceDE w:val="0"/>
        <w:autoSpaceDN w:val="0"/>
        <w:adjustRightInd w:val="0"/>
        <w:jc w:val="both"/>
        <w:rPr>
          <w:rFonts w:ascii="Tahoma" w:eastAsiaTheme="minorHAnsi" w:hAnsi="Tahoma" w:cs="Tahoma"/>
          <w:sz w:val="16"/>
          <w:szCs w:val="16"/>
          <w:lang w:eastAsia="en-US"/>
        </w:rPr>
      </w:pPr>
      <w:r w:rsidRPr="001E6109">
        <w:rPr>
          <w:rFonts w:ascii="Tahoma" w:eastAsiaTheme="minorHAnsi" w:hAnsi="Tahoma" w:cs="Tahoma"/>
          <w:sz w:val="16"/>
          <w:szCs w:val="16"/>
          <w:lang w:eastAsia="en-US"/>
        </w:rPr>
        <w:t xml:space="preserve">Il Cliente avrà diritto ad un indennizzo automatico di importo pari a 30 (trenta) euro nel caso in cui la fornitura sia stata sospesa per morosità nonostante il </w:t>
      </w:r>
      <w:r w:rsidRPr="00C2403C">
        <w:rPr>
          <w:rFonts w:ascii="Tahoma" w:eastAsiaTheme="minorHAnsi" w:hAnsi="Tahoma" w:cs="Tahoma"/>
          <w:sz w:val="16"/>
          <w:szCs w:val="16"/>
          <w:lang w:eastAsia="en-US"/>
        </w:rPr>
        <w:t xml:space="preserve">mancato invio al Cliente della comunicazione di costituzione in mora. Il Cliente avrà altresì diritto ad un ulteriore indennizzo automatico di importo pari a 20 (venti) euro nel caso in cui la fornitura venga sospesa per morosità senza che </w:t>
      </w:r>
      <w:r w:rsidR="00051DB5">
        <w:rPr>
          <w:rFonts w:ascii="Tahoma" w:eastAsiaTheme="minorHAnsi" w:hAnsi="Tahoma" w:cs="Tahoma"/>
          <w:sz w:val="16"/>
          <w:szCs w:val="16"/>
          <w:lang w:eastAsia="en-US"/>
        </w:rPr>
        <w:t>Gas Più</w:t>
      </w:r>
      <w:r w:rsidRPr="00C2403C">
        <w:rPr>
          <w:rFonts w:ascii="Tahoma" w:eastAsiaTheme="minorHAnsi" w:hAnsi="Tahoma" w:cs="Tahoma"/>
          <w:sz w:val="16"/>
          <w:szCs w:val="16"/>
          <w:lang w:eastAsia="en-US"/>
        </w:rPr>
        <w:t xml:space="preserve"> abbia garantito al Cliente finale il rispetto del: a) termine ultimo di pagamento indicato nella comunicazione di costituzione in mora; b) termine massimo previsto dall’</w:t>
      </w:r>
      <w:r w:rsidR="00CC3B21" w:rsidRPr="00C2403C">
        <w:rPr>
          <w:rFonts w:ascii="Tahoma" w:eastAsiaTheme="minorHAnsi" w:hAnsi="Tahoma" w:cs="Tahoma"/>
          <w:sz w:val="16"/>
          <w:szCs w:val="16"/>
          <w:lang w:eastAsia="en-US"/>
        </w:rPr>
        <w:t>ARERA</w:t>
      </w:r>
      <w:r w:rsidR="009272B3" w:rsidRPr="00C2403C">
        <w:rPr>
          <w:rFonts w:ascii="Tahoma" w:eastAsiaTheme="minorHAnsi" w:hAnsi="Tahoma" w:cs="Tahoma"/>
          <w:sz w:val="16"/>
          <w:szCs w:val="16"/>
          <w:lang w:eastAsia="en-US"/>
        </w:rPr>
        <w:t xml:space="preserve"> </w:t>
      </w:r>
      <w:r w:rsidRPr="00C2403C">
        <w:rPr>
          <w:rFonts w:ascii="Tahoma" w:eastAsiaTheme="minorHAnsi" w:hAnsi="Tahoma" w:cs="Tahoma"/>
          <w:sz w:val="16"/>
          <w:szCs w:val="16"/>
          <w:lang w:eastAsia="en-US"/>
        </w:rPr>
        <w:t>tra la data di emissione della comunicazione di costituzione in mora e la data di consegna al vettore postale della stessa; c) termine minimo previsto dall’</w:t>
      </w:r>
      <w:r w:rsidR="00CC3B21" w:rsidRPr="00C2403C">
        <w:rPr>
          <w:rFonts w:ascii="Tahoma" w:eastAsiaTheme="minorHAnsi" w:hAnsi="Tahoma" w:cs="Tahoma"/>
          <w:sz w:val="16"/>
          <w:szCs w:val="16"/>
          <w:lang w:eastAsia="en-US"/>
        </w:rPr>
        <w:t>ARERA</w:t>
      </w:r>
      <w:r w:rsidRPr="00C2403C">
        <w:rPr>
          <w:rFonts w:ascii="Tahoma" w:eastAsiaTheme="minorHAnsi" w:hAnsi="Tahoma" w:cs="Tahoma"/>
          <w:sz w:val="16"/>
          <w:szCs w:val="16"/>
          <w:lang w:eastAsia="en-US"/>
        </w:rPr>
        <w:t xml:space="preserve"> tra la data ultima </w:t>
      </w:r>
      <w:r w:rsidRPr="001E6109">
        <w:rPr>
          <w:rFonts w:ascii="Tahoma" w:eastAsiaTheme="minorHAnsi" w:hAnsi="Tahoma" w:cs="Tahoma"/>
          <w:sz w:val="16"/>
          <w:szCs w:val="16"/>
          <w:lang w:eastAsia="en-US"/>
        </w:rPr>
        <w:t xml:space="preserve">di scadenza di pagamento e la data della richiesta al distributore locale dell’intervento di </w:t>
      </w:r>
      <w:r w:rsidR="00FB5AD4">
        <w:rPr>
          <w:rFonts w:ascii="Tahoma" w:eastAsiaTheme="minorHAnsi" w:hAnsi="Tahoma" w:cs="Tahoma"/>
          <w:sz w:val="16"/>
          <w:szCs w:val="16"/>
          <w:lang w:eastAsia="en-US"/>
        </w:rPr>
        <w:t xml:space="preserve">chiusura del </w:t>
      </w:r>
      <w:proofErr w:type="spellStart"/>
      <w:r w:rsidR="00FB5AD4">
        <w:rPr>
          <w:rFonts w:ascii="Tahoma" w:eastAsiaTheme="minorHAnsi" w:hAnsi="Tahoma" w:cs="Tahoma"/>
          <w:sz w:val="16"/>
          <w:szCs w:val="16"/>
          <w:lang w:eastAsia="en-US"/>
        </w:rPr>
        <w:t>PdR</w:t>
      </w:r>
      <w:proofErr w:type="spellEnd"/>
      <w:r w:rsidR="00FB5AD4">
        <w:rPr>
          <w:rFonts w:ascii="Tahoma" w:eastAsiaTheme="minorHAnsi" w:hAnsi="Tahoma" w:cs="Tahoma"/>
          <w:sz w:val="16"/>
          <w:szCs w:val="16"/>
          <w:lang w:eastAsia="en-US"/>
        </w:rPr>
        <w:t xml:space="preserve"> per </w:t>
      </w:r>
      <w:r w:rsidRPr="001E6109">
        <w:rPr>
          <w:rFonts w:ascii="Tahoma" w:eastAsiaTheme="minorHAnsi" w:hAnsi="Tahoma" w:cs="Tahoma"/>
          <w:sz w:val="16"/>
          <w:szCs w:val="16"/>
          <w:lang w:eastAsia="en-US"/>
        </w:rPr>
        <w:t>sospensione della fornitura</w:t>
      </w:r>
      <w:r w:rsidR="00FB5AD4">
        <w:rPr>
          <w:rFonts w:ascii="Tahoma" w:eastAsiaTheme="minorHAnsi" w:hAnsi="Tahoma" w:cs="Tahoma"/>
          <w:sz w:val="16"/>
          <w:szCs w:val="16"/>
          <w:lang w:eastAsia="en-US"/>
        </w:rPr>
        <w:t xml:space="preserve"> per morosità</w:t>
      </w:r>
      <w:r w:rsidRPr="001E6109">
        <w:rPr>
          <w:rFonts w:ascii="Tahoma" w:eastAsiaTheme="minorHAnsi" w:hAnsi="Tahoma" w:cs="Tahoma"/>
          <w:sz w:val="16"/>
          <w:szCs w:val="16"/>
          <w:lang w:eastAsia="en-US"/>
        </w:rPr>
        <w:t>.</w:t>
      </w: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2F5BFA" w:rsidRDefault="002F5BFA">
      <w:pPr>
        <w:spacing w:after="200" w:line="276" w:lineRule="auto"/>
        <w:rPr>
          <w:rFonts w:ascii="Tahoma" w:hAnsi="Tahoma" w:cs="Tahoma"/>
          <w:sz w:val="16"/>
          <w:szCs w:val="16"/>
        </w:rPr>
      </w:pPr>
      <w:r>
        <w:rPr>
          <w:rFonts w:ascii="Tahoma" w:hAnsi="Tahoma" w:cs="Tahoma"/>
          <w:sz w:val="16"/>
          <w:szCs w:val="16"/>
        </w:rPr>
        <w:br w:type="page"/>
      </w: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Default="001E6109" w:rsidP="001E6109">
      <w:pPr>
        <w:autoSpaceDE w:val="0"/>
        <w:autoSpaceDN w:val="0"/>
        <w:adjustRightInd w:val="0"/>
        <w:jc w:val="both"/>
        <w:rPr>
          <w:rFonts w:ascii="Tahoma" w:hAnsi="Tahoma" w:cs="Tahoma"/>
          <w:sz w:val="16"/>
          <w:szCs w:val="16"/>
        </w:rPr>
      </w:pPr>
    </w:p>
    <w:p w:rsidR="001E6109" w:rsidRPr="00FB5AD4" w:rsidRDefault="001E6109" w:rsidP="00FB5AD4">
      <w:pPr>
        <w:autoSpaceDE w:val="0"/>
        <w:autoSpaceDN w:val="0"/>
        <w:adjustRightInd w:val="0"/>
        <w:ind w:left="360"/>
        <w:jc w:val="center"/>
        <w:rPr>
          <w:rFonts w:ascii="Tahoma" w:hAnsi="Tahoma" w:cs="Tahoma"/>
          <w:b/>
          <w:bCs/>
          <w:color w:val="FF0000"/>
          <w:sz w:val="20"/>
          <w:szCs w:val="20"/>
        </w:rPr>
      </w:pPr>
      <w:r w:rsidRPr="009272B3">
        <w:rPr>
          <w:rFonts w:ascii="Tahoma" w:hAnsi="Tahoma" w:cs="Tahoma"/>
          <w:b/>
          <w:bCs/>
          <w:sz w:val="20"/>
          <w:szCs w:val="20"/>
        </w:rPr>
        <w:t xml:space="preserve">Dichiarazione dei livelli effettivi conseguiti da </w:t>
      </w:r>
      <w:r w:rsidR="00051DB5">
        <w:rPr>
          <w:rFonts w:ascii="Tahoma" w:hAnsi="Tahoma" w:cs="Tahoma"/>
          <w:b/>
          <w:bCs/>
          <w:sz w:val="20"/>
          <w:szCs w:val="20"/>
        </w:rPr>
        <w:t>Gas Più</w:t>
      </w:r>
      <w:r w:rsidRPr="009272B3">
        <w:rPr>
          <w:rFonts w:ascii="Tahoma" w:hAnsi="Tahoma" w:cs="Tahoma"/>
          <w:b/>
          <w:bCs/>
          <w:sz w:val="20"/>
          <w:szCs w:val="20"/>
        </w:rPr>
        <w:t xml:space="preserve"> nel</w:t>
      </w:r>
      <w:r w:rsidR="000162CE" w:rsidRPr="009272B3">
        <w:rPr>
          <w:rFonts w:ascii="Tahoma" w:hAnsi="Tahoma" w:cs="Tahoma"/>
          <w:b/>
          <w:bCs/>
          <w:sz w:val="20"/>
          <w:szCs w:val="20"/>
        </w:rPr>
        <w:t xml:space="preserve">l’anno </w:t>
      </w:r>
      <w:bookmarkStart w:id="0" w:name="_GoBack"/>
      <w:r w:rsidR="009272B3" w:rsidRPr="00051DB5">
        <w:rPr>
          <w:rFonts w:ascii="Tahoma" w:hAnsi="Tahoma" w:cs="Tahoma"/>
          <w:b/>
          <w:bCs/>
          <w:sz w:val="20"/>
          <w:szCs w:val="20"/>
        </w:rPr>
        <w:t>201</w:t>
      </w:r>
      <w:r w:rsidR="00C2403C" w:rsidRPr="00051DB5">
        <w:rPr>
          <w:rFonts w:ascii="Tahoma" w:hAnsi="Tahoma" w:cs="Tahoma"/>
          <w:b/>
          <w:bCs/>
          <w:sz w:val="20"/>
          <w:szCs w:val="20"/>
        </w:rPr>
        <w:t>8</w:t>
      </w:r>
      <w:bookmarkEnd w:id="0"/>
    </w:p>
    <w:p w:rsidR="001E6109" w:rsidRPr="001E6109" w:rsidRDefault="001E6109" w:rsidP="001E6109">
      <w:pPr>
        <w:autoSpaceDE w:val="0"/>
        <w:autoSpaceDN w:val="0"/>
        <w:adjustRightInd w:val="0"/>
        <w:jc w:val="both"/>
        <w:rPr>
          <w:rFonts w:ascii="Tahoma" w:hAnsi="Tahoma" w:cs="Tahoma"/>
          <w:b/>
          <w:bCs/>
          <w:sz w:val="16"/>
          <w:szCs w:val="16"/>
        </w:rPr>
      </w:pPr>
    </w:p>
    <w:p w:rsidR="009272B3" w:rsidRPr="00A8517B" w:rsidRDefault="009272B3" w:rsidP="009272B3">
      <w:pPr>
        <w:rPr>
          <w:rFonts w:ascii="Arial Narrow" w:hAnsi="Arial Narrow"/>
          <w:b/>
          <w:i/>
          <w:iCs/>
          <w:color w:val="FF0000"/>
          <w:sz w:val="22"/>
          <w:szCs w:val="22"/>
        </w:rPr>
      </w:pPr>
    </w:p>
    <w:p w:rsidR="009272B3" w:rsidRPr="00C2403C" w:rsidRDefault="009272B3" w:rsidP="009272B3">
      <w:pPr>
        <w:rPr>
          <w:rFonts w:ascii="Arial Narrow" w:hAnsi="Arial Narrow"/>
          <w:i/>
          <w:iCs/>
          <w:sz w:val="22"/>
          <w:szCs w:val="22"/>
        </w:rPr>
      </w:pPr>
      <w:r w:rsidRPr="00C2403C">
        <w:rPr>
          <w:rFonts w:ascii="Arial Narrow" w:hAnsi="Arial Narrow"/>
          <w:b/>
          <w:i/>
          <w:iCs/>
          <w:sz w:val="22"/>
          <w:szCs w:val="22"/>
        </w:rPr>
        <w:t>LIVELLI GENERALI DI QUALITÀ COMMERCIALE REGISTRATI</w:t>
      </w:r>
      <w:r w:rsidRPr="00C2403C">
        <w:rPr>
          <w:rFonts w:ascii="Arial Narrow" w:hAnsi="Arial Narrow"/>
          <w:i/>
          <w:iCs/>
          <w:sz w:val="22"/>
          <w:szCs w:val="22"/>
        </w:rPr>
        <w:t xml:space="preserve"> </w:t>
      </w:r>
      <w:r w:rsidRPr="00C2403C">
        <w:rPr>
          <w:rFonts w:ascii="Arial Narrow" w:hAnsi="Arial Narrow"/>
          <w:i/>
          <w:iCs/>
          <w:sz w:val="22"/>
          <w:szCs w:val="22"/>
        </w:rPr>
        <w:br/>
      </w:r>
      <w:r w:rsidRPr="00C2403C">
        <w:rPr>
          <w:rFonts w:ascii="Arial Narrow" w:hAnsi="Arial Narrow"/>
          <w:i/>
          <w:iCs/>
          <w:sz w:val="22"/>
          <w:szCs w:val="22"/>
        </w:rPr>
        <w:tab/>
      </w:r>
      <w:r w:rsidRPr="00C2403C">
        <w:rPr>
          <w:rFonts w:ascii="Arial Narrow" w:hAnsi="Arial Narrow"/>
          <w:i/>
          <w:iCs/>
          <w:sz w:val="22"/>
          <w:szCs w:val="22"/>
        </w:rPr>
        <w:tab/>
      </w:r>
      <w:r w:rsidRPr="00C2403C">
        <w:rPr>
          <w:rFonts w:ascii="Arial Narrow" w:hAnsi="Arial Narrow"/>
          <w:i/>
          <w:iCs/>
          <w:sz w:val="22"/>
          <w:szCs w:val="22"/>
        </w:rPr>
        <w:tab/>
      </w:r>
      <w:proofErr w:type="gramStart"/>
      <w:r w:rsidRPr="00C2403C">
        <w:rPr>
          <w:rFonts w:ascii="Arial Narrow" w:hAnsi="Arial Narrow"/>
          <w:i/>
          <w:iCs/>
          <w:sz w:val="22"/>
          <w:szCs w:val="22"/>
        </w:rPr>
        <w:tab/>
        <w:t xml:space="preserve">  </w:t>
      </w:r>
      <w:r w:rsidRPr="00C2403C">
        <w:rPr>
          <w:rFonts w:ascii="Arial Narrow" w:hAnsi="Arial Narrow"/>
          <w:i/>
          <w:iCs/>
          <w:sz w:val="22"/>
          <w:szCs w:val="22"/>
        </w:rPr>
        <w:tab/>
      </w:r>
      <w:proofErr w:type="gramEnd"/>
      <w:r w:rsidRPr="00C2403C">
        <w:rPr>
          <w:rFonts w:ascii="Arial Narrow" w:hAnsi="Arial Narrow"/>
          <w:i/>
          <w:iCs/>
          <w:sz w:val="22"/>
          <w:szCs w:val="22"/>
        </w:rPr>
        <w:tab/>
        <w:t xml:space="preserve">   </w:t>
      </w:r>
      <w:r w:rsidRPr="00C2403C">
        <w:rPr>
          <w:rFonts w:ascii="Arial Narrow" w:hAnsi="Arial Narrow"/>
          <w:i/>
          <w:iCs/>
          <w:sz w:val="22"/>
          <w:szCs w:val="22"/>
        </w:rPr>
        <w:tab/>
      </w:r>
      <w:r w:rsidRPr="00C2403C">
        <w:rPr>
          <w:rFonts w:ascii="Arial Narrow" w:hAnsi="Arial Narrow"/>
          <w:i/>
          <w:iCs/>
          <w:sz w:val="22"/>
          <w:szCs w:val="22"/>
        </w:rPr>
        <w:tab/>
      </w:r>
      <w:r w:rsidRPr="00C2403C">
        <w:rPr>
          <w:rFonts w:ascii="Arial Narrow" w:hAnsi="Arial Narrow"/>
          <w:i/>
          <w:iCs/>
          <w:sz w:val="22"/>
          <w:szCs w:val="22"/>
        </w:rPr>
        <w:tab/>
        <w:t xml:space="preserve">                        Prevista    Effettiva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9"/>
        <w:gridCol w:w="756"/>
        <w:gridCol w:w="1047"/>
      </w:tblGrid>
      <w:tr w:rsidR="00A8517B" w:rsidRPr="00C2403C" w:rsidTr="00763126">
        <w:trPr>
          <w:trHeight w:val="250"/>
        </w:trPr>
        <w:tc>
          <w:tcPr>
            <w:tcW w:w="7519" w:type="dxa"/>
          </w:tcPr>
          <w:p w:rsidR="009272B3" w:rsidRPr="00C2403C" w:rsidRDefault="009272B3" w:rsidP="00763126">
            <w:pPr>
              <w:rPr>
                <w:rFonts w:ascii="Arial Narrow" w:hAnsi="Arial Narrow"/>
                <w:i/>
                <w:iCs/>
                <w:sz w:val="19"/>
                <w:szCs w:val="19"/>
              </w:rPr>
            </w:pPr>
            <w:r w:rsidRPr="00C2403C">
              <w:rPr>
                <w:rFonts w:ascii="Arial Narrow" w:hAnsi="Arial Narrow"/>
                <w:i/>
                <w:iCs/>
                <w:sz w:val="19"/>
                <w:szCs w:val="19"/>
              </w:rPr>
              <w:t>Percentuale minima di risposte motivate a richieste scritte di informazioni (30 giorni solari)</w:t>
            </w:r>
          </w:p>
        </w:tc>
        <w:tc>
          <w:tcPr>
            <w:tcW w:w="756" w:type="dxa"/>
          </w:tcPr>
          <w:p w:rsidR="009272B3" w:rsidRPr="00C2403C" w:rsidRDefault="009272B3" w:rsidP="00763126">
            <w:pPr>
              <w:jc w:val="center"/>
              <w:rPr>
                <w:rFonts w:ascii="Arial Narrow" w:hAnsi="Arial Narrow"/>
                <w:i/>
                <w:iCs/>
                <w:sz w:val="19"/>
                <w:szCs w:val="19"/>
              </w:rPr>
            </w:pPr>
            <w:r w:rsidRPr="00C2403C">
              <w:rPr>
                <w:rFonts w:ascii="Arial Narrow" w:hAnsi="Arial Narrow"/>
                <w:i/>
                <w:iCs/>
                <w:sz w:val="19"/>
                <w:szCs w:val="19"/>
              </w:rPr>
              <w:t>95%</w:t>
            </w:r>
          </w:p>
        </w:tc>
        <w:tc>
          <w:tcPr>
            <w:tcW w:w="1047" w:type="dxa"/>
          </w:tcPr>
          <w:p w:rsidR="009272B3" w:rsidRPr="00C2403C" w:rsidRDefault="00051DB5" w:rsidP="00763126">
            <w:pPr>
              <w:jc w:val="center"/>
              <w:rPr>
                <w:rFonts w:ascii="Arial Narrow" w:hAnsi="Arial Narrow"/>
                <w:i/>
                <w:iCs/>
                <w:sz w:val="19"/>
                <w:szCs w:val="19"/>
              </w:rPr>
            </w:pPr>
            <w:r>
              <w:rPr>
                <w:rFonts w:ascii="Arial Narrow" w:hAnsi="Arial Narrow"/>
                <w:i/>
                <w:iCs/>
                <w:sz w:val="19"/>
                <w:szCs w:val="19"/>
              </w:rPr>
              <w:t>xx</w:t>
            </w:r>
            <w:r w:rsidR="009272B3" w:rsidRPr="00C2403C">
              <w:rPr>
                <w:rFonts w:ascii="Arial Narrow" w:hAnsi="Arial Narrow"/>
                <w:i/>
                <w:iCs/>
                <w:sz w:val="19"/>
                <w:szCs w:val="19"/>
              </w:rPr>
              <w:t>%</w:t>
            </w:r>
          </w:p>
        </w:tc>
      </w:tr>
    </w:tbl>
    <w:p w:rsidR="009272B3" w:rsidRPr="00C2403C" w:rsidRDefault="009272B3" w:rsidP="009272B3">
      <w:pPr>
        <w:rPr>
          <w:rFonts w:ascii="Arial Narrow" w:hAnsi="Arial Narrow"/>
          <w:b/>
          <w:i/>
          <w:iCs/>
          <w:sz w:val="22"/>
          <w:szCs w:val="22"/>
        </w:rPr>
      </w:pPr>
    </w:p>
    <w:p w:rsidR="009272B3" w:rsidRPr="00C2403C" w:rsidRDefault="009272B3" w:rsidP="009272B3">
      <w:pPr>
        <w:rPr>
          <w:rFonts w:ascii="Arial Narrow" w:hAnsi="Arial Narrow"/>
          <w:i/>
          <w:iCs/>
          <w:sz w:val="22"/>
          <w:szCs w:val="22"/>
        </w:rPr>
      </w:pPr>
      <w:r w:rsidRPr="00C2403C">
        <w:rPr>
          <w:rFonts w:ascii="Arial Narrow" w:hAnsi="Arial Narrow"/>
          <w:b/>
          <w:i/>
          <w:iCs/>
          <w:sz w:val="22"/>
          <w:szCs w:val="22"/>
        </w:rPr>
        <w:t>LIVELLI SPECIFICI DI QUALITÀ COMMERCIALE REGISTRATI</w:t>
      </w:r>
      <w:r w:rsidRPr="00C2403C">
        <w:rPr>
          <w:rFonts w:ascii="Arial Narrow" w:hAnsi="Arial Narrow"/>
          <w:i/>
          <w:iCs/>
          <w:sz w:val="22"/>
          <w:szCs w:val="22"/>
        </w:rPr>
        <w:t xml:space="preserve"> </w:t>
      </w:r>
      <w:r w:rsidRPr="00C2403C">
        <w:rPr>
          <w:rFonts w:ascii="Arial Narrow" w:hAnsi="Arial Narrow"/>
          <w:i/>
          <w:iCs/>
          <w:sz w:val="22"/>
          <w:szCs w:val="22"/>
        </w:rPr>
        <w:br/>
      </w:r>
      <w:r w:rsidRPr="00C2403C">
        <w:rPr>
          <w:rFonts w:ascii="Arial Narrow" w:hAnsi="Arial Narrow"/>
          <w:i/>
          <w:iCs/>
          <w:sz w:val="22"/>
          <w:szCs w:val="22"/>
        </w:rPr>
        <w:tab/>
      </w:r>
      <w:r w:rsidRPr="00C2403C">
        <w:rPr>
          <w:rFonts w:ascii="Arial Narrow" w:hAnsi="Arial Narrow"/>
          <w:i/>
          <w:iCs/>
          <w:sz w:val="22"/>
          <w:szCs w:val="22"/>
        </w:rPr>
        <w:tab/>
      </w:r>
      <w:r w:rsidRPr="00C2403C">
        <w:rPr>
          <w:rFonts w:ascii="Arial Narrow" w:hAnsi="Arial Narrow"/>
          <w:i/>
          <w:iCs/>
          <w:sz w:val="22"/>
          <w:szCs w:val="22"/>
        </w:rPr>
        <w:tab/>
      </w:r>
      <w:r w:rsidRPr="00C2403C">
        <w:rPr>
          <w:rFonts w:ascii="Arial Narrow" w:hAnsi="Arial Narrow"/>
          <w:i/>
          <w:iCs/>
          <w:sz w:val="22"/>
          <w:szCs w:val="22"/>
        </w:rPr>
        <w:tab/>
      </w:r>
      <w:r w:rsidRPr="00C2403C">
        <w:rPr>
          <w:rFonts w:ascii="Arial Narrow" w:hAnsi="Arial Narrow"/>
          <w:i/>
          <w:iCs/>
          <w:sz w:val="22"/>
          <w:szCs w:val="22"/>
        </w:rPr>
        <w:tab/>
      </w:r>
      <w:r w:rsidRPr="00C2403C">
        <w:rPr>
          <w:rFonts w:ascii="Arial Narrow" w:hAnsi="Arial Narrow"/>
          <w:i/>
          <w:iCs/>
          <w:sz w:val="22"/>
          <w:szCs w:val="22"/>
        </w:rPr>
        <w:tab/>
      </w:r>
      <w:r w:rsidRPr="00C2403C">
        <w:rPr>
          <w:rFonts w:ascii="Arial Narrow" w:hAnsi="Arial Narrow"/>
          <w:i/>
          <w:iCs/>
          <w:sz w:val="22"/>
          <w:szCs w:val="22"/>
        </w:rPr>
        <w:tab/>
        <w:t xml:space="preserve">               Richieste       Standard    Fuori St.    Tempo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134"/>
        <w:gridCol w:w="992"/>
        <w:gridCol w:w="850"/>
        <w:gridCol w:w="850"/>
      </w:tblGrid>
      <w:tr w:rsidR="00C2403C" w:rsidRPr="00C2403C" w:rsidTr="00763126">
        <w:tc>
          <w:tcPr>
            <w:tcW w:w="5637" w:type="dxa"/>
          </w:tcPr>
          <w:p w:rsidR="009272B3" w:rsidRPr="00C2403C" w:rsidRDefault="009272B3" w:rsidP="00763126">
            <w:pPr>
              <w:rPr>
                <w:rFonts w:ascii="Arial Narrow" w:hAnsi="Arial Narrow"/>
                <w:i/>
                <w:iCs/>
                <w:sz w:val="19"/>
                <w:szCs w:val="19"/>
              </w:rPr>
            </w:pPr>
            <w:r w:rsidRPr="00C2403C">
              <w:rPr>
                <w:rFonts w:ascii="Arial Narrow" w:hAnsi="Arial Narrow"/>
                <w:i/>
                <w:iCs/>
                <w:sz w:val="19"/>
                <w:szCs w:val="19"/>
              </w:rPr>
              <w:t>Tempo medio di risposta motivata a reclami scritti (entro 40 gg solari)</w:t>
            </w:r>
          </w:p>
        </w:tc>
        <w:tc>
          <w:tcPr>
            <w:tcW w:w="1134" w:type="dxa"/>
          </w:tcPr>
          <w:p w:rsidR="009272B3" w:rsidRPr="00C2403C" w:rsidRDefault="00051DB5" w:rsidP="00763126">
            <w:pPr>
              <w:jc w:val="center"/>
              <w:rPr>
                <w:rFonts w:ascii="Arial Narrow" w:hAnsi="Arial Narrow"/>
                <w:i/>
                <w:iCs/>
                <w:sz w:val="19"/>
                <w:szCs w:val="19"/>
              </w:rPr>
            </w:pPr>
            <w:r>
              <w:rPr>
                <w:rFonts w:ascii="Arial Narrow" w:hAnsi="Arial Narrow"/>
                <w:i/>
                <w:iCs/>
                <w:sz w:val="19"/>
                <w:szCs w:val="19"/>
              </w:rPr>
              <w:t>x</w:t>
            </w:r>
          </w:p>
        </w:tc>
        <w:tc>
          <w:tcPr>
            <w:tcW w:w="992" w:type="dxa"/>
          </w:tcPr>
          <w:p w:rsidR="009272B3" w:rsidRPr="00C2403C" w:rsidRDefault="00051DB5" w:rsidP="00763126">
            <w:pPr>
              <w:jc w:val="center"/>
              <w:rPr>
                <w:rFonts w:ascii="Arial Narrow" w:hAnsi="Arial Narrow"/>
                <w:i/>
                <w:iCs/>
                <w:sz w:val="19"/>
                <w:szCs w:val="19"/>
              </w:rPr>
            </w:pPr>
            <w:r>
              <w:rPr>
                <w:rFonts w:ascii="Arial Narrow" w:hAnsi="Arial Narrow"/>
                <w:i/>
                <w:iCs/>
                <w:sz w:val="19"/>
                <w:szCs w:val="19"/>
              </w:rPr>
              <w:t>x</w:t>
            </w:r>
          </w:p>
        </w:tc>
        <w:tc>
          <w:tcPr>
            <w:tcW w:w="850" w:type="dxa"/>
          </w:tcPr>
          <w:p w:rsidR="009272B3" w:rsidRPr="00C2403C" w:rsidRDefault="00051DB5" w:rsidP="00763126">
            <w:pPr>
              <w:jc w:val="center"/>
              <w:rPr>
                <w:rFonts w:ascii="Arial Narrow" w:hAnsi="Arial Narrow"/>
                <w:i/>
                <w:iCs/>
                <w:sz w:val="19"/>
                <w:szCs w:val="19"/>
              </w:rPr>
            </w:pPr>
            <w:r>
              <w:rPr>
                <w:rFonts w:ascii="Arial Narrow" w:hAnsi="Arial Narrow"/>
                <w:i/>
                <w:iCs/>
                <w:sz w:val="19"/>
                <w:szCs w:val="19"/>
              </w:rPr>
              <w:t>x</w:t>
            </w:r>
          </w:p>
        </w:tc>
        <w:tc>
          <w:tcPr>
            <w:tcW w:w="850" w:type="dxa"/>
          </w:tcPr>
          <w:p w:rsidR="009272B3" w:rsidRPr="00C2403C" w:rsidRDefault="00051DB5" w:rsidP="00763126">
            <w:pPr>
              <w:jc w:val="center"/>
              <w:rPr>
                <w:rFonts w:ascii="Arial Narrow" w:hAnsi="Arial Narrow"/>
                <w:i/>
                <w:iCs/>
                <w:sz w:val="19"/>
                <w:szCs w:val="19"/>
              </w:rPr>
            </w:pPr>
            <w:r>
              <w:rPr>
                <w:rFonts w:ascii="Arial Narrow" w:hAnsi="Arial Narrow"/>
                <w:i/>
                <w:iCs/>
                <w:sz w:val="19"/>
                <w:szCs w:val="19"/>
              </w:rPr>
              <w:t>xx</w:t>
            </w:r>
          </w:p>
        </w:tc>
      </w:tr>
      <w:tr w:rsidR="00C2403C" w:rsidRPr="00C2403C" w:rsidTr="00763126">
        <w:tc>
          <w:tcPr>
            <w:tcW w:w="5637" w:type="dxa"/>
          </w:tcPr>
          <w:p w:rsidR="009272B3" w:rsidRPr="00C2403C" w:rsidRDefault="009272B3" w:rsidP="00763126">
            <w:pPr>
              <w:rPr>
                <w:rFonts w:ascii="Arial Narrow" w:hAnsi="Arial Narrow"/>
                <w:i/>
                <w:iCs/>
                <w:sz w:val="19"/>
                <w:szCs w:val="19"/>
              </w:rPr>
            </w:pPr>
            <w:r w:rsidRPr="00C2403C">
              <w:rPr>
                <w:rFonts w:ascii="Arial Narrow" w:hAnsi="Arial Narrow"/>
                <w:i/>
                <w:iCs/>
                <w:sz w:val="19"/>
                <w:szCs w:val="19"/>
              </w:rPr>
              <w:t>Tempo medio di rettifica di fatturazione (entro 90 gg solari)</w:t>
            </w:r>
          </w:p>
        </w:tc>
        <w:tc>
          <w:tcPr>
            <w:tcW w:w="1134" w:type="dxa"/>
          </w:tcPr>
          <w:p w:rsidR="009272B3" w:rsidRPr="00C2403C" w:rsidRDefault="00051DB5" w:rsidP="00763126">
            <w:pPr>
              <w:jc w:val="center"/>
              <w:rPr>
                <w:rFonts w:ascii="Arial Narrow" w:hAnsi="Arial Narrow"/>
                <w:i/>
                <w:iCs/>
                <w:sz w:val="19"/>
                <w:szCs w:val="19"/>
              </w:rPr>
            </w:pPr>
            <w:r>
              <w:rPr>
                <w:rFonts w:ascii="Arial Narrow" w:hAnsi="Arial Narrow"/>
                <w:i/>
                <w:iCs/>
                <w:sz w:val="19"/>
                <w:szCs w:val="19"/>
              </w:rPr>
              <w:t>x</w:t>
            </w:r>
          </w:p>
        </w:tc>
        <w:tc>
          <w:tcPr>
            <w:tcW w:w="992" w:type="dxa"/>
          </w:tcPr>
          <w:p w:rsidR="009272B3" w:rsidRPr="00C2403C" w:rsidRDefault="00051DB5" w:rsidP="00763126">
            <w:pPr>
              <w:jc w:val="center"/>
              <w:rPr>
                <w:rFonts w:ascii="Arial Narrow" w:hAnsi="Arial Narrow"/>
                <w:i/>
                <w:iCs/>
                <w:sz w:val="19"/>
                <w:szCs w:val="19"/>
              </w:rPr>
            </w:pPr>
            <w:r>
              <w:rPr>
                <w:rFonts w:ascii="Arial Narrow" w:hAnsi="Arial Narrow"/>
                <w:i/>
                <w:iCs/>
                <w:sz w:val="19"/>
                <w:szCs w:val="19"/>
              </w:rPr>
              <w:t>x</w:t>
            </w:r>
          </w:p>
        </w:tc>
        <w:tc>
          <w:tcPr>
            <w:tcW w:w="850" w:type="dxa"/>
          </w:tcPr>
          <w:p w:rsidR="009272B3" w:rsidRPr="00C2403C" w:rsidRDefault="00051DB5" w:rsidP="00763126">
            <w:pPr>
              <w:jc w:val="center"/>
              <w:rPr>
                <w:rFonts w:ascii="Arial Narrow" w:hAnsi="Arial Narrow"/>
                <w:i/>
                <w:iCs/>
                <w:sz w:val="19"/>
                <w:szCs w:val="19"/>
              </w:rPr>
            </w:pPr>
            <w:r>
              <w:rPr>
                <w:rFonts w:ascii="Arial Narrow" w:hAnsi="Arial Narrow"/>
                <w:i/>
                <w:iCs/>
                <w:sz w:val="19"/>
                <w:szCs w:val="19"/>
              </w:rPr>
              <w:t>x</w:t>
            </w:r>
          </w:p>
        </w:tc>
        <w:tc>
          <w:tcPr>
            <w:tcW w:w="850" w:type="dxa"/>
          </w:tcPr>
          <w:p w:rsidR="009272B3" w:rsidRPr="00C2403C" w:rsidRDefault="00051DB5" w:rsidP="00763126">
            <w:pPr>
              <w:jc w:val="center"/>
              <w:rPr>
                <w:rFonts w:ascii="Arial Narrow" w:hAnsi="Arial Narrow"/>
                <w:i/>
                <w:iCs/>
                <w:sz w:val="19"/>
                <w:szCs w:val="19"/>
              </w:rPr>
            </w:pPr>
            <w:r>
              <w:rPr>
                <w:rFonts w:ascii="Arial Narrow" w:hAnsi="Arial Narrow"/>
                <w:i/>
                <w:iCs/>
                <w:sz w:val="19"/>
                <w:szCs w:val="19"/>
              </w:rPr>
              <w:t>x</w:t>
            </w:r>
            <w:r w:rsidR="009272B3" w:rsidRPr="00C2403C">
              <w:rPr>
                <w:rFonts w:ascii="Arial Narrow" w:hAnsi="Arial Narrow"/>
                <w:i/>
                <w:iCs/>
                <w:sz w:val="19"/>
                <w:szCs w:val="19"/>
              </w:rPr>
              <w:t xml:space="preserve"> </w:t>
            </w:r>
          </w:p>
        </w:tc>
      </w:tr>
      <w:tr w:rsidR="00C2403C" w:rsidRPr="00C2403C" w:rsidTr="00763126">
        <w:tc>
          <w:tcPr>
            <w:tcW w:w="5637" w:type="dxa"/>
          </w:tcPr>
          <w:p w:rsidR="009272B3" w:rsidRPr="00C2403C" w:rsidRDefault="009272B3" w:rsidP="00763126">
            <w:pPr>
              <w:rPr>
                <w:rFonts w:ascii="Arial Narrow" w:hAnsi="Arial Narrow"/>
                <w:i/>
                <w:iCs/>
                <w:sz w:val="19"/>
                <w:szCs w:val="19"/>
              </w:rPr>
            </w:pPr>
            <w:r w:rsidRPr="00C2403C">
              <w:rPr>
                <w:rFonts w:ascii="Arial Narrow" w:hAnsi="Arial Narrow"/>
                <w:i/>
                <w:iCs/>
                <w:sz w:val="19"/>
                <w:szCs w:val="19"/>
              </w:rPr>
              <w:t>Tempo medio di rettifica di doppia fatturazione (entro 20 gg solari)</w:t>
            </w:r>
          </w:p>
        </w:tc>
        <w:tc>
          <w:tcPr>
            <w:tcW w:w="1134" w:type="dxa"/>
          </w:tcPr>
          <w:p w:rsidR="009272B3" w:rsidRPr="00C2403C" w:rsidRDefault="00051DB5" w:rsidP="00763126">
            <w:pPr>
              <w:jc w:val="center"/>
              <w:rPr>
                <w:rFonts w:ascii="Arial Narrow" w:hAnsi="Arial Narrow"/>
                <w:i/>
                <w:iCs/>
                <w:sz w:val="19"/>
                <w:szCs w:val="19"/>
              </w:rPr>
            </w:pPr>
            <w:r>
              <w:rPr>
                <w:rFonts w:ascii="Arial Narrow" w:hAnsi="Arial Narrow"/>
                <w:i/>
                <w:iCs/>
                <w:sz w:val="19"/>
                <w:szCs w:val="19"/>
              </w:rPr>
              <w:t>x</w:t>
            </w:r>
          </w:p>
        </w:tc>
        <w:tc>
          <w:tcPr>
            <w:tcW w:w="992" w:type="dxa"/>
          </w:tcPr>
          <w:p w:rsidR="009272B3" w:rsidRPr="00C2403C" w:rsidRDefault="00051DB5" w:rsidP="00763126">
            <w:pPr>
              <w:jc w:val="center"/>
              <w:rPr>
                <w:rFonts w:ascii="Arial Narrow" w:hAnsi="Arial Narrow"/>
                <w:i/>
                <w:iCs/>
                <w:sz w:val="19"/>
                <w:szCs w:val="19"/>
              </w:rPr>
            </w:pPr>
            <w:r>
              <w:rPr>
                <w:rFonts w:ascii="Arial Narrow" w:hAnsi="Arial Narrow"/>
                <w:i/>
                <w:iCs/>
                <w:sz w:val="19"/>
                <w:szCs w:val="19"/>
              </w:rPr>
              <w:t>x</w:t>
            </w:r>
          </w:p>
        </w:tc>
        <w:tc>
          <w:tcPr>
            <w:tcW w:w="850" w:type="dxa"/>
          </w:tcPr>
          <w:p w:rsidR="009272B3" w:rsidRPr="00C2403C" w:rsidRDefault="00051DB5" w:rsidP="00763126">
            <w:pPr>
              <w:jc w:val="center"/>
              <w:rPr>
                <w:rFonts w:ascii="Arial Narrow" w:hAnsi="Arial Narrow"/>
                <w:i/>
                <w:iCs/>
                <w:sz w:val="19"/>
                <w:szCs w:val="19"/>
              </w:rPr>
            </w:pPr>
            <w:r>
              <w:rPr>
                <w:rFonts w:ascii="Arial Narrow" w:hAnsi="Arial Narrow"/>
                <w:i/>
                <w:iCs/>
                <w:sz w:val="19"/>
                <w:szCs w:val="19"/>
              </w:rPr>
              <w:t>x</w:t>
            </w:r>
          </w:p>
        </w:tc>
        <w:tc>
          <w:tcPr>
            <w:tcW w:w="850" w:type="dxa"/>
          </w:tcPr>
          <w:p w:rsidR="009272B3" w:rsidRPr="00C2403C" w:rsidRDefault="00051DB5" w:rsidP="00763126">
            <w:pPr>
              <w:jc w:val="center"/>
              <w:rPr>
                <w:rFonts w:ascii="Arial Narrow" w:hAnsi="Arial Narrow"/>
                <w:i/>
                <w:iCs/>
                <w:sz w:val="19"/>
                <w:szCs w:val="19"/>
              </w:rPr>
            </w:pPr>
            <w:r>
              <w:rPr>
                <w:rFonts w:ascii="Arial Narrow" w:hAnsi="Arial Narrow"/>
                <w:i/>
                <w:iCs/>
                <w:sz w:val="19"/>
                <w:szCs w:val="19"/>
              </w:rPr>
              <w:t>x</w:t>
            </w:r>
            <w:r w:rsidR="009272B3" w:rsidRPr="00C2403C">
              <w:rPr>
                <w:rFonts w:ascii="Arial Narrow" w:hAnsi="Arial Narrow"/>
                <w:i/>
                <w:iCs/>
                <w:sz w:val="19"/>
                <w:szCs w:val="19"/>
              </w:rPr>
              <w:t xml:space="preserve"> </w:t>
            </w:r>
          </w:p>
        </w:tc>
      </w:tr>
    </w:tbl>
    <w:p w:rsidR="009272B3" w:rsidRPr="00A8517B" w:rsidRDefault="009272B3" w:rsidP="009272B3">
      <w:pPr>
        <w:rPr>
          <w:rFonts w:ascii="Arial Narrow" w:hAnsi="Arial Narrow"/>
          <w:i/>
          <w:iCs/>
          <w:color w:val="FF0000"/>
          <w:sz w:val="22"/>
          <w:szCs w:val="22"/>
        </w:rPr>
      </w:pPr>
    </w:p>
    <w:p w:rsidR="009272B3" w:rsidRPr="0062579A" w:rsidRDefault="009272B3" w:rsidP="009272B3">
      <w:pPr>
        <w:rPr>
          <w:rFonts w:ascii="Arial Narrow" w:hAnsi="Arial Narrow"/>
          <w:b/>
          <w:i/>
          <w:iCs/>
          <w:sz w:val="22"/>
          <w:szCs w:val="22"/>
        </w:rPr>
      </w:pPr>
    </w:p>
    <w:sectPr w:rsidR="009272B3" w:rsidRPr="006257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49"/>
    <w:rsid w:val="00011CAA"/>
    <w:rsid w:val="000162CE"/>
    <w:rsid w:val="00025CAB"/>
    <w:rsid w:val="00030ACC"/>
    <w:rsid w:val="000352F4"/>
    <w:rsid w:val="00051DB5"/>
    <w:rsid w:val="000530AC"/>
    <w:rsid w:val="000561B8"/>
    <w:rsid w:val="00062A65"/>
    <w:rsid w:val="000802A9"/>
    <w:rsid w:val="000805C3"/>
    <w:rsid w:val="000B011B"/>
    <w:rsid w:val="000C4631"/>
    <w:rsid w:val="000D24D3"/>
    <w:rsid w:val="000E49AE"/>
    <w:rsid w:val="000E60AC"/>
    <w:rsid w:val="000F4C45"/>
    <w:rsid w:val="00102F00"/>
    <w:rsid w:val="00103042"/>
    <w:rsid w:val="00113738"/>
    <w:rsid w:val="001343D6"/>
    <w:rsid w:val="001400B3"/>
    <w:rsid w:val="00165989"/>
    <w:rsid w:val="00165BCA"/>
    <w:rsid w:val="00172B4B"/>
    <w:rsid w:val="00177844"/>
    <w:rsid w:val="001924AB"/>
    <w:rsid w:val="001B0E2A"/>
    <w:rsid w:val="001B428D"/>
    <w:rsid w:val="001C4293"/>
    <w:rsid w:val="001C4ACA"/>
    <w:rsid w:val="001E02D4"/>
    <w:rsid w:val="001E6109"/>
    <w:rsid w:val="001F2E13"/>
    <w:rsid w:val="00213826"/>
    <w:rsid w:val="00225080"/>
    <w:rsid w:val="00250B4B"/>
    <w:rsid w:val="00261772"/>
    <w:rsid w:val="00267E04"/>
    <w:rsid w:val="00280C3F"/>
    <w:rsid w:val="002A3C11"/>
    <w:rsid w:val="002B3948"/>
    <w:rsid w:val="002B3949"/>
    <w:rsid w:val="002C2E02"/>
    <w:rsid w:val="002E0B04"/>
    <w:rsid w:val="002E1914"/>
    <w:rsid w:val="002E3073"/>
    <w:rsid w:val="002F5BFA"/>
    <w:rsid w:val="002F670A"/>
    <w:rsid w:val="002F69B2"/>
    <w:rsid w:val="003126B3"/>
    <w:rsid w:val="00312F27"/>
    <w:rsid w:val="00345C35"/>
    <w:rsid w:val="00351502"/>
    <w:rsid w:val="003875A1"/>
    <w:rsid w:val="00387F44"/>
    <w:rsid w:val="00396EE3"/>
    <w:rsid w:val="003B7473"/>
    <w:rsid w:val="003C08A7"/>
    <w:rsid w:val="00404699"/>
    <w:rsid w:val="0041453E"/>
    <w:rsid w:val="004230CF"/>
    <w:rsid w:val="00425511"/>
    <w:rsid w:val="00430753"/>
    <w:rsid w:val="00442BFE"/>
    <w:rsid w:val="00457F06"/>
    <w:rsid w:val="004951E9"/>
    <w:rsid w:val="004A0B12"/>
    <w:rsid w:val="004A1511"/>
    <w:rsid w:val="004B4E78"/>
    <w:rsid w:val="004B60FE"/>
    <w:rsid w:val="004D17BF"/>
    <w:rsid w:val="004D5A86"/>
    <w:rsid w:val="004D6312"/>
    <w:rsid w:val="004E3D79"/>
    <w:rsid w:val="004E51A9"/>
    <w:rsid w:val="004F1809"/>
    <w:rsid w:val="004F3BD3"/>
    <w:rsid w:val="004F749A"/>
    <w:rsid w:val="00507806"/>
    <w:rsid w:val="00535A8E"/>
    <w:rsid w:val="00555B9A"/>
    <w:rsid w:val="0056656B"/>
    <w:rsid w:val="00566D46"/>
    <w:rsid w:val="00572912"/>
    <w:rsid w:val="005810C5"/>
    <w:rsid w:val="005A38B7"/>
    <w:rsid w:val="005B5A61"/>
    <w:rsid w:val="005D170A"/>
    <w:rsid w:val="005D6A49"/>
    <w:rsid w:val="005D79AA"/>
    <w:rsid w:val="005E0BCE"/>
    <w:rsid w:val="005E4416"/>
    <w:rsid w:val="00612201"/>
    <w:rsid w:val="00615656"/>
    <w:rsid w:val="00630B69"/>
    <w:rsid w:val="006345B8"/>
    <w:rsid w:val="006514A6"/>
    <w:rsid w:val="00653B7F"/>
    <w:rsid w:val="0068312B"/>
    <w:rsid w:val="00683B27"/>
    <w:rsid w:val="00693F8E"/>
    <w:rsid w:val="006957B6"/>
    <w:rsid w:val="00697520"/>
    <w:rsid w:val="006B232B"/>
    <w:rsid w:val="006D0843"/>
    <w:rsid w:val="006E3397"/>
    <w:rsid w:val="00707802"/>
    <w:rsid w:val="007127E3"/>
    <w:rsid w:val="00717E2A"/>
    <w:rsid w:val="007716BF"/>
    <w:rsid w:val="00772757"/>
    <w:rsid w:val="0078080B"/>
    <w:rsid w:val="00781F44"/>
    <w:rsid w:val="00793C01"/>
    <w:rsid w:val="0079662A"/>
    <w:rsid w:val="007C18F4"/>
    <w:rsid w:val="007C1EA9"/>
    <w:rsid w:val="007D46D6"/>
    <w:rsid w:val="007E0C5B"/>
    <w:rsid w:val="007E287D"/>
    <w:rsid w:val="007F21FB"/>
    <w:rsid w:val="007F498C"/>
    <w:rsid w:val="007F7661"/>
    <w:rsid w:val="00804E3F"/>
    <w:rsid w:val="0082055C"/>
    <w:rsid w:val="0082071B"/>
    <w:rsid w:val="00835DD3"/>
    <w:rsid w:val="00865379"/>
    <w:rsid w:val="00870EE0"/>
    <w:rsid w:val="008830F3"/>
    <w:rsid w:val="00886EA2"/>
    <w:rsid w:val="008A6949"/>
    <w:rsid w:val="008E648A"/>
    <w:rsid w:val="008F771E"/>
    <w:rsid w:val="0090467C"/>
    <w:rsid w:val="00926496"/>
    <w:rsid w:val="009272B3"/>
    <w:rsid w:val="00942E3D"/>
    <w:rsid w:val="009703BF"/>
    <w:rsid w:val="009852D9"/>
    <w:rsid w:val="009B2AC7"/>
    <w:rsid w:val="009C0D79"/>
    <w:rsid w:val="009F1843"/>
    <w:rsid w:val="009F63FA"/>
    <w:rsid w:val="009F6F37"/>
    <w:rsid w:val="00A00C8B"/>
    <w:rsid w:val="00A23FBF"/>
    <w:rsid w:val="00A30B1F"/>
    <w:rsid w:val="00A3255F"/>
    <w:rsid w:val="00A41251"/>
    <w:rsid w:val="00A54196"/>
    <w:rsid w:val="00A65A73"/>
    <w:rsid w:val="00A8517B"/>
    <w:rsid w:val="00A94D18"/>
    <w:rsid w:val="00AB2757"/>
    <w:rsid w:val="00AC4CEA"/>
    <w:rsid w:val="00AD19FF"/>
    <w:rsid w:val="00AD1A03"/>
    <w:rsid w:val="00AE1FAA"/>
    <w:rsid w:val="00AF32E4"/>
    <w:rsid w:val="00B04F39"/>
    <w:rsid w:val="00B06987"/>
    <w:rsid w:val="00B117FE"/>
    <w:rsid w:val="00B12772"/>
    <w:rsid w:val="00B13352"/>
    <w:rsid w:val="00B25C04"/>
    <w:rsid w:val="00B6564C"/>
    <w:rsid w:val="00BC1E6C"/>
    <w:rsid w:val="00BC7D9F"/>
    <w:rsid w:val="00BF0E69"/>
    <w:rsid w:val="00BF1685"/>
    <w:rsid w:val="00C13C42"/>
    <w:rsid w:val="00C2403C"/>
    <w:rsid w:val="00C30626"/>
    <w:rsid w:val="00C347CD"/>
    <w:rsid w:val="00C51FD3"/>
    <w:rsid w:val="00C604F3"/>
    <w:rsid w:val="00C63F6A"/>
    <w:rsid w:val="00C66CFA"/>
    <w:rsid w:val="00C7202D"/>
    <w:rsid w:val="00C734DB"/>
    <w:rsid w:val="00CA6ACE"/>
    <w:rsid w:val="00CB1E11"/>
    <w:rsid w:val="00CB2680"/>
    <w:rsid w:val="00CB372B"/>
    <w:rsid w:val="00CB54AE"/>
    <w:rsid w:val="00CC3B21"/>
    <w:rsid w:val="00CC5FE5"/>
    <w:rsid w:val="00CE1273"/>
    <w:rsid w:val="00CE4B9C"/>
    <w:rsid w:val="00CE5D80"/>
    <w:rsid w:val="00CF261B"/>
    <w:rsid w:val="00CF2DF0"/>
    <w:rsid w:val="00D014F6"/>
    <w:rsid w:val="00D01DFF"/>
    <w:rsid w:val="00D30D70"/>
    <w:rsid w:val="00D51BE1"/>
    <w:rsid w:val="00D535E6"/>
    <w:rsid w:val="00D73E30"/>
    <w:rsid w:val="00D8065B"/>
    <w:rsid w:val="00D83AB6"/>
    <w:rsid w:val="00DB033F"/>
    <w:rsid w:val="00DB0EE0"/>
    <w:rsid w:val="00DC4853"/>
    <w:rsid w:val="00DC63D4"/>
    <w:rsid w:val="00DF008B"/>
    <w:rsid w:val="00DF15F0"/>
    <w:rsid w:val="00E13D75"/>
    <w:rsid w:val="00E44270"/>
    <w:rsid w:val="00E50952"/>
    <w:rsid w:val="00E641EF"/>
    <w:rsid w:val="00E72422"/>
    <w:rsid w:val="00E74B6B"/>
    <w:rsid w:val="00E82FB7"/>
    <w:rsid w:val="00E867CF"/>
    <w:rsid w:val="00EB5FCE"/>
    <w:rsid w:val="00EC2655"/>
    <w:rsid w:val="00EC3E6C"/>
    <w:rsid w:val="00EC5339"/>
    <w:rsid w:val="00EC5990"/>
    <w:rsid w:val="00F0217D"/>
    <w:rsid w:val="00F04BB9"/>
    <w:rsid w:val="00F25AA8"/>
    <w:rsid w:val="00F37DF0"/>
    <w:rsid w:val="00F44168"/>
    <w:rsid w:val="00F510CC"/>
    <w:rsid w:val="00F52DC6"/>
    <w:rsid w:val="00F55DE3"/>
    <w:rsid w:val="00F574F2"/>
    <w:rsid w:val="00F757A1"/>
    <w:rsid w:val="00F80EF4"/>
    <w:rsid w:val="00F975F5"/>
    <w:rsid w:val="00FA79B1"/>
    <w:rsid w:val="00FB5AD4"/>
    <w:rsid w:val="00FC23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AF7F"/>
  <w15:docId w15:val="{E1063C83-8E80-4960-BBB2-37149724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D6A4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D6A4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75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7664-D82E-424B-ACE8-0BE79719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1474</Words>
  <Characters>8405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Gavazzeni</dc:creator>
  <cp:lastModifiedBy>Andrea Gavazzeni</cp:lastModifiedBy>
  <cp:revision>3</cp:revision>
  <dcterms:created xsi:type="dcterms:W3CDTF">2019-01-23T10:50:00Z</dcterms:created>
  <dcterms:modified xsi:type="dcterms:W3CDTF">2019-01-23T10:53:00Z</dcterms:modified>
</cp:coreProperties>
</file>